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B2A7F" w14:textId="77777777" w:rsidR="008978A3" w:rsidRPr="00E16733" w:rsidRDefault="009D7A31" w:rsidP="008978A3">
      <w:pPr>
        <w:pStyle w:val="ListParagraph"/>
        <w:spacing w:after="0" w:line="240" w:lineRule="auto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Dexmedetomi</w:t>
      </w:r>
      <w:r w:rsidR="00B06442">
        <w:rPr>
          <w:b/>
          <w:sz w:val="28"/>
          <w:szCs w:val="28"/>
          <w:u w:val="single"/>
        </w:rPr>
        <w:t>di</w:t>
      </w:r>
      <w:r>
        <w:rPr>
          <w:b/>
          <w:sz w:val="28"/>
          <w:szCs w:val="28"/>
          <w:u w:val="single"/>
        </w:rPr>
        <w:t>ne utilization evaluation in intensive care uni</w:t>
      </w:r>
      <w:r w:rsidR="00DA4399">
        <w:rPr>
          <w:b/>
          <w:sz w:val="28"/>
          <w:szCs w:val="28"/>
          <w:u w:val="single"/>
        </w:rPr>
        <w:t>ts across the Memorial Hermann Health S</w:t>
      </w:r>
      <w:r>
        <w:rPr>
          <w:b/>
          <w:sz w:val="28"/>
          <w:szCs w:val="28"/>
          <w:u w:val="single"/>
        </w:rPr>
        <w:t>ystem</w:t>
      </w:r>
    </w:p>
    <w:p w14:paraId="05CB2A80" w14:textId="77777777" w:rsidR="009D7A31" w:rsidRDefault="009D7A31" w:rsidP="008978A3">
      <w:pPr>
        <w:pStyle w:val="ListParagraph"/>
        <w:spacing w:after="0" w:line="240" w:lineRule="auto"/>
        <w:jc w:val="center"/>
      </w:pPr>
    </w:p>
    <w:p w14:paraId="05CB2A81" w14:textId="77777777" w:rsidR="008978A3" w:rsidRPr="00E16733" w:rsidRDefault="00B06442" w:rsidP="008978A3">
      <w:pPr>
        <w:pStyle w:val="ListParagraph"/>
        <w:spacing w:after="0" w:line="240" w:lineRule="auto"/>
        <w:jc w:val="center"/>
      </w:pPr>
      <w:r>
        <w:t>Yeunju (Michelle) Lee, Pharm.D., BCPS, Michael Ha, Pharm.D., BCPS, Elizabeth Franco, Pharm.D., Monica Lee, Pharm.D., Vijay Nayar, Pharm.D., Leigh Gomez, Pharm.D., Stephanie Kuhl, Pharm.D., Minoosh Sobhanian, Pharm.D.</w:t>
      </w:r>
      <w:r w:rsidR="00DA4399">
        <w:t>, Brian Gulbis, Pharm.D., BCPS, Teresa Allison, Pharm.D., BCPS</w:t>
      </w:r>
    </w:p>
    <w:p w14:paraId="05CB2A82" w14:textId="77777777" w:rsidR="008978A3" w:rsidRPr="00E16733" w:rsidRDefault="008978A3" w:rsidP="008978A3">
      <w:pPr>
        <w:spacing w:after="0" w:line="240" w:lineRule="auto"/>
        <w:jc w:val="both"/>
        <w:rPr>
          <w:u w:val="single"/>
        </w:rPr>
      </w:pPr>
    </w:p>
    <w:p w14:paraId="05CB2A83" w14:textId="77777777" w:rsidR="008978A3" w:rsidRPr="00E16733" w:rsidRDefault="008978A3" w:rsidP="008978A3">
      <w:pPr>
        <w:spacing w:after="0" w:line="240" w:lineRule="auto"/>
        <w:jc w:val="both"/>
        <w:rPr>
          <w:u w:val="single"/>
        </w:rPr>
      </w:pPr>
    </w:p>
    <w:p w14:paraId="05CB2A84" w14:textId="77777777" w:rsidR="008978A3" w:rsidRPr="00E16733" w:rsidRDefault="008978A3" w:rsidP="008978A3">
      <w:pPr>
        <w:spacing w:after="0" w:line="240" w:lineRule="auto"/>
        <w:jc w:val="both"/>
        <w:rPr>
          <w:u w:val="single"/>
        </w:rPr>
      </w:pPr>
      <w:r w:rsidRPr="00E16733">
        <w:rPr>
          <w:u w:val="single"/>
        </w:rPr>
        <w:t xml:space="preserve">OBJECTIVE </w:t>
      </w:r>
    </w:p>
    <w:p w14:paraId="05CB2A85" w14:textId="77777777" w:rsidR="008978A3" w:rsidRPr="00E16733" w:rsidRDefault="00B06442" w:rsidP="008978A3">
      <w:pPr>
        <w:spacing w:after="0" w:line="240" w:lineRule="auto"/>
        <w:ind w:left="720"/>
        <w:jc w:val="both"/>
        <w:rPr>
          <w:u w:val="single"/>
        </w:rPr>
      </w:pPr>
      <w:r>
        <w:t xml:space="preserve">To evaluate </w:t>
      </w:r>
      <w:r w:rsidR="007407E4">
        <w:t>the utilization of dexmedetomidine in intensive care</w:t>
      </w:r>
      <w:r w:rsidR="00DA4399">
        <w:t xml:space="preserve"> units across Memorial Hermann Health S</w:t>
      </w:r>
      <w:r w:rsidR="007407E4">
        <w:t>ystem</w:t>
      </w:r>
      <w:r w:rsidR="002F469D">
        <w:t xml:space="preserve"> in regards to indication, patient outcomes and patient safety. </w:t>
      </w:r>
    </w:p>
    <w:p w14:paraId="05CB2A86" w14:textId="77777777" w:rsidR="008978A3" w:rsidRPr="00E16733" w:rsidRDefault="008978A3" w:rsidP="008978A3">
      <w:pPr>
        <w:spacing w:after="0" w:line="240" w:lineRule="auto"/>
        <w:jc w:val="both"/>
        <w:rPr>
          <w:u w:val="single"/>
        </w:rPr>
      </w:pPr>
    </w:p>
    <w:p w14:paraId="05CB2A87" w14:textId="77777777" w:rsidR="008978A3" w:rsidRPr="00E16733" w:rsidRDefault="008978A3" w:rsidP="008978A3">
      <w:pPr>
        <w:spacing w:after="0" w:line="240" w:lineRule="auto"/>
        <w:jc w:val="both"/>
        <w:rPr>
          <w:u w:val="single"/>
        </w:rPr>
      </w:pPr>
      <w:r w:rsidRPr="00E16733">
        <w:rPr>
          <w:u w:val="single"/>
        </w:rPr>
        <w:t xml:space="preserve">BACKGROUND </w:t>
      </w:r>
    </w:p>
    <w:p w14:paraId="05CB2A88" w14:textId="77777777" w:rsidR="000378DD" w:rsidRDefault="00BC5D97" w:rsidP="00157F1E">
      <w:pPr>
        <w:spacing w:after="0" w:line="240" w:lineRule="auto"/>
        <w:ind w:left="720"/>
        <w:jc w:val="both"/>
      </w:pPr>
      <w:r>
        <w:t>Dexmedetomidine (Precedex®) is an intravenous</w:t>
      </w:r>
      <w:r w:rsidR="00DA4399">
        <w:t xml:space="preserve"> </w:t>
      </w:r>
      <w:r>
        <w:t xml:space="preserve">centrally-acting </w:t>
      </w:r>
      <w:r w:rsidR="00DA4399">
        <w:t xml:space="preserve">selective </w:t>
      </w:r>
      <w:r w:rsidR="00AD007B">
        <w:t>alpha-2</w:t>
      </w:r>
      <w:r w:rsidR="00856100">
        <w:t xml:space="preserve"> receptor agonist</w:t>
      </w:r>
      <w:r>
        <w:t>. It</w:t>
      </w:r>
      <w:r w:rsidR="00AD007B">
        <w:t xml:space="preserve"> is approved for ICU sedation </w:t>
      </w:r>
      <w:r>
        <w:t xml:space="preserve">of initially intubated, </w:t>
      </w:r>
      <w:r w:rsidR="00157F1E">
        <w:t>mechanically ventilat</w:t>
      </w:r>
      <w:r>
        <w:t xml:space="preserve">ed patients and for procedural use in non-intubated patients. </w:t>
      </w:r>
      <w:r w:rsidR="00814AF4">
        <w:t xml:space="preserve">The FDA approved dosing range is 0.2-0.7mcg/kg/hr, but doses up to 1.5mcg/kg/hr </w:t>
      </w:r>
      <w:r>
        <w:t>has been studied that showed</w:t>
      </w:r>
      <w:r w:rsidR="00814AF4">
        <w:t xml:space="preserve"> safety with higher incidences of sinus bradycardia. In clinical trials, d</w:t>
      </w:r>
      <w:r w:rsidR="00AC510C">
        <w:t>exmedetomidine has been shown to result in more days alive witho</w:t>
      </w:r>
      <w:r>
        <w:t>ut delirium or coma and</w:t>
      </w:r>
      <w:r w:rsidR="00814AF4">
        <w:t xml:space="preserve"> le</w:t>
      </w:r>
      <w:r w:rsidR="00AC510C">
        <w:t xml:space="preserve">ss time on the ventilator with comparable sedation levels </w:t>
      </w:r>
      <w:r w:rsidR="00814AF4">
        <w:t xml:space="preserve">achieved </w:t>
      </w:r>
      <w:r w:rsidR="00AC510C">
        <w:t>com</w:t>
      </w:r>
      <w:r>
        <w:t>pared to benzodiazepine infusion.</w:t>
      </w:r>
      <w:r w:rsidR="00814AF4">
        <w:t xml:space="preserve"> In a cost analysis trial, dexmedetomidine resulted in significantly lower total ICU costs primarily driven by the decrease in mechanical ventilation costs and</w:t>
      </w:r>
      <w:r>
        <w:t xml:space="preserve"> length of</w:t>
      </w:r>
      <w:r w:rsidR="00814AF4">
        <w:t xml:space="preserve"> ICU stay costs.</w:t>
      </w:r>
    </w:p>
    <w:p w14:paraId="05CB2A89" w14:textId="77777777" w:rsidR="000378DD" w:rsidRDefault="000378DD" w:rsidP="00157F1E">
      <w:pPr>
        <w:spacing w:after="0" w:line="240" w:lineRule="auto"/>
        <w:ind w:left="720"/>
        <w:jc w:val="both"/>
      </w:pPr>
    </w:p>
    <w:p w14:paraId="05CB2A8A" w14:textId="77777777" w:rsidR="008978A3" w:rsidRPr="00E16733" w:rsidRDefault="008978A3" w:rsidP="00157F1E">
      <w:pPr>
        <w:spacing w:after="0" w:line="240" w:lineRule="auto"/>
        <w:ind w:left="720"/>
        <w:jc w:val="both"/>
      </w:pPr>
      <w:r w:rsidRPr="00E16733">
        <w:t>The goal of this MUE is to compare the</w:t>
      </w:r>
      <w:r w:rsidR="00157F1E">
        <w:t xml:space="preserve"> utilization of dexmedetomidine in intensive care units across the Memorial Hermann health system</w:t>
      </w:r>
      <w:r w:rsidR="00814AF4">
        <w:t xml:space="preserve"> and identify if our current use of dexmedetomidine is decreasing the total ICU costs</w:t>
      </w:r>
      <w:r w:rsidRPr="00E16733">
        <w:t xml:space="preserve">. </w:t>
      </w:r>
    </w:p>
    <w:p w14:paraId="05CB2A8B" w14:textId="77777777" w:rsidR="008978A3" w:rsidRPr="00E16733" w:rsidRDefault="008978A3" w:rsidP="008978A3">
      <w:pPr>
        <w:pStyle w:val="ListParagraph"/>
        <w:tabs>
          <w:tab w:val="left" w:pos="7665"/>
        </w:tabs>
        <w:spacing w:after="0" w:line="240" w:lineRule="auto"/>
        <w:jc w:val="both"/>
      </w:pPr>
      <w:r w:rsidRPr="00E16733">
        <w:tab/>
      </w:r>
    </w:p>
    <w:p w14:paraId="05CB2A8C" w14:textId="77777777" w:rsidR="008978A3" w:rsidRPr="00E16733" w:rsidRDefault="008978A3" w:rsidP="008978A3">
      <w:pPr>
        <w:spacing w:after="0" w:line="240" w:lineRule="auto"/>
        <w:jc w:val="both"/>
        <w:rPr>
          <w:u w:val="single"/>
        </w:rPr>
      </w:pPr>
      <w:r w:rsidRPr="00E16733">
        <w:rPr>
          <w:u w:val="single"/>
        </w:rPr>
        <w:t>DESIGN</w:t>
      </w:r>
    </w:p>
    <w:p w14:paraId="05CB2A8D" w14:textId="77777777" w:rsidR="008978A3" w:rsidRDefault="00BC5D97" w:rsidP="009B56C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Inclusion: a</w:t>
      </w:r>
      <w:r w:rsidR="009B56C3">
        <w:t xml:space="preserve">ll ICU patients </w:t>
      </w:r>
      <w:r w:rsidR="00090713">
        <w:t xml:space="preserve">who received dexmedetomidine </w:t>
      </w:r>
    </w:p>
    <w:p w14:paraId="05CB2A8E" w14:textId="181AF0B7" w:rsidR="00090713" w:rsidRDefault="00C91F2C" w:rsidP="009B56C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Exclusion</w:t>
      </w:r>
      <w:r w:rsidR="00BC5D97">
        <w:t xml:space="preserve">: </w:t>
      </w:r>
      <w:r w:rsidR="004A0BF3">
        <w:t>A</w:t>
      </w:r>
      <w:r w:rsidR="00DA4399">
        <w:t>ge &lt; 18 years old</w:t>
      </w:r>
      <w:r w:rsidR="00090713">
        <w:t xml:space="preserve"> </w:t>
      </w:r>
    </w:p>
    <w:p w14:paraId="05CB2A8F" w14:textId="77777777" w:rsidR="00090713" w:rsidRDefault="00090713" w:rsidP="009B56C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Time frame: FY 2015</w:t>
      </w:r>
    </w:p>
    <w:p w14:paraId="05CB2A90" w14:textId="77777777" w:rsidR="00090713" w:rsidRDefault="00C91F2C" w:rsidP="009B56C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Data points</w:t>
      </w:r>
    </w:p>
    <w:p w14:paraId="05CB2A91" w14:textId="77777777" w:rsidR="00090713" w:rsidRDefault="00090713" w:rsidP="00090713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 xml:space="preserve">Demographics </w:t>
      </w:r>
    </w:p>
    <w:p w14:paraId="05CB2A92" w14:textId="77777777" w:rsidR="00090713" w:rsidRDefault="00090713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Age</w:t>
      </w:r>
    </w:p>
    <w:p w14:paraId="05CB2A93" w14:textId="77777777" w:rsidR="00090713" w:rsidRDefault="00090713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Sex</w:t>
      </w:r>
    </w:p>
    <w:p w14:paraId="05CB2A94" w14:textId="77777777" w:rsidR="005A601B" w:rsidRDefault="005A601B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 xml:space="preserve">Race </w:t>
      </w:r>
    </w:p>
    <w:p w14:paraId="05CB2A95" w14:textId="77777777" w:rsidR="00430E4D" w:rsidRDefault="00430E4D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 xml:space="preserve">Hospital location </w:t>
      </w:r>
    </w:p>
    <w:p w14:paraId="05CB2A96" w14:textId="77777777" w:rsidR="00302683" w:rsidRDefault="00302683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Reason for ICU admission</w:t>
      </w:r>
    </w:p>
    <w:p w14:paraId="05CB2A97" w14:textId="77777777" w:rsidR="00DA4399" w:rsidRDefault="00DA4399" w:rsidP="00DA4399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t>Surgical</w:t>
      </w:r>
    </w:p>
    <w:p w14:paraId="05CB2A98" w14:textId="77777777" w:rsidR="00DA4399" w:rsidRDefault="00DA4399" w:rsidP="00DA4399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t>Medical</w:t>
      </w:r>
    </w:p>
    <w:p w14:paraId="05CB2A99" w14:textId="0D8364F0" w:rsidR="00DA4399" w:rsidRDefault="0089576E" w:rsidP="00DA4399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SOFA Score</w:t>
      </w:r>
    </w:p>
    <w:p w14:paraId="05CB2A9A" w14:textId="77777777" w:rsidR="00DA4399" w:rsidRDefault="00DA4399" w:rsidP="00DA4399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Weight</w:t>
      </w:r>
    </w:p>
    <w:p w14:paraId="05CB2A9B" w14:textId="77777777" w:rsidR="00DA4399" w:rsidRDefault="00DA4399" w:rsidP="00DA4399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Mechanical ventilation (Y/N)</w:t>
      </w:r>
    </w:p>
    <w:p w14:paraId="05CB2A9C" w14:textId="77777777" w:rsidR="000C4890" w:rsidRDefault="000C4890" w:rsidP="00DA4399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Presence or absence of substance abuse</w:t>
      </w:r>
    </w:p>
    <w:p w14:paraId="05CB2A9D" w14:textId="77777777" w:rsidR="000C4890" w:rsidRDefault="000C4890" w:rsidP="000C4890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t>Blood EtOH (+) on admission</w:t>
      </w:r>
    </w:p>
    <w:p w14:paraId="05CB2A9E" w14:textId="77777777" w:rsidR="000C4890" w:rsidRDefault="000C4890" w:rsidP="000C4890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t>UDS</w:t>
      </w:r>
    </w:p>
    <w:p w14:paraId="05CB2A9F" w14:textId="77777777" w:rsidR="000C4890" w:rsidRDefault="000C4890" w:rsidP="000C4890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lastRenderedPageBreak/>
        <w:t>History</w:t>
      </w:r>
    </w:p>
    <w:p w14:paraId="05CB2AA0" w14:textId="77777777" w:rsidR="00090713" w:rsidRDefault="00090713" w:rsidP="00090713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 xml:space="preserve">Dexmedetomidine </w:t>
      </w:r>
      <w:r w:rsidR="00DA4399">
        <w:t xml:space="preserve">therapy </w:t>
      </w:r>
    </w:p>
    <w:p w14:paraId="05CB2AA1" w14:textId="77777777" w:rsidR="00DA4399" w:rsidRDefault="00DA4399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Indication of dexmedetomidine</w:t>
      </w:r>
    </w:p>
    <w:p w14:paraId="05CB2AA2" w14:textId="77777777" w:rsidR="00430E4D" w:rsidRDefault="00430E4D" w:rsidP="00430E4D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t>ICU sedation</w:t>
      </w:r>
    </w:p>
    <w:p w14:paraId="05CB2AA3" w14:textId="77777777" w:rsidR="00430E4D" w:rsidRDefault="00430E4D" w:rsidP="00430E4D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t>Shivering management</w:t>
      </w:r>
    </w:p>
    <w:p w14:paraId="05CB2AA4" w14:textId="77777777" w:rsidR="00430E4D" w:rsidRDefault="00430E4D" w:rsidP="00430E4D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t>Alcohol withdrawal</w:t>
      </w:r>
    </w:p>
    <w:p w14:paraId="05CB2AA5" w14:textId="77777777" w:rsidR="00430E4D" w:rsidRDefault="00430E4D" w:rsidP="00430E4D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t>Procedural sedation</w:t>
      </w:r>
    </w:p>
    <w:p w14:paraId="05CB2AA6" w14:textId="77777777" w:rsidR="00090713" w:rsidRDefault="00090713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Duration of dexmedetomidine</w:t>
      </w:r>
    </w:p>
    <w:p w14:paraId="05CB2AA7" w14:textId="77777777" w:rsidR="002F469D" w:rsidRDefault="002F469D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Bolus of dexmedetomidine</w:t>
      </w:r>
    </w:p>
    <w:p w14:paraId="05CB2AA8" w14:textId="77777777" w:rsidR="00302683" w:rsidRDefault="00302683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Cumula</w:t>
      </w:r>
      <w:r w:rsidR="000C4890">
        <w:t>tive dose of dexmedetomidine per hospital course (mcg/kg/hr)</w:t>
      </w:r>
    </w:p>
    <w:p w14:paraId="05CB2AA9" w14:textId="77777777" w:rsidR="00302683" w:rsidRDefault="00302683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 xml:space="preserve">Max rate of dexmedetomidine dose </w:t>
      </w:r>
    </w:p>
    <w:p w14:paraId="000CAD9B" w14:textId="7A416727" w:rsidR="00E95A5C" w:rsidRDefault="00E95A5C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Total number of courses of therapy for dexmedetomidine</w:t>
      </w:r>
    </w:p>
    <w:p w14:paraId="05CB2AAA" w14:textId="77777777" w:rsidR="00DA4399" w:rsidRDefault="00DA4399" w:rsidP="00DA4399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Outcomes</w:t>
      </w:r>
    </w:p>
    <w:p w14:paraId="05CB2AAB" w14:textId="77777777" w:rsidR="00090713" w:rsidRDefault="00090713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ICU length of stay</w:t>
      </w:r>
    </w:p>
    <w:p w14:paraId="05CB2AAC" w14:textId="77777777" w:rsidR="00090713" w:rsidRDefault="00090713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 xml:space="preserve">Hospital length of stay </w:t>
      </w:r>
    </w:p>
    <w:p w14:paraId="05CB2AAD" w14:textId="77777777" w:rsidR="00025075" w:rsidRDefault="00430E4D" w:rsidP="00090713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Total m</w:t>
      </w:r>
      <w:r w:rsidR="00025075">
        <w:t xml:space="preserve">echanical ventilator duration </w:t>
      </w:r>
    </w:p>
    <w:p w14:paraId="05CB2AAE" w14:textId="77777777" w:rsidR="00430E4D" w:rsidRDefault="00430E4D" w:rsidP="00430E4D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Mechanical ventilator duration on dexmedetomidine</w:t>
      </w:r>
    </w:p>
    <w:p w14:paraId="05CB2AAF" w14:textId="77777777" w:rsidR="00565748" w:rsidRDefault="00565748" w:rsidP="00565748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Level of sedation (RASS)</w:t>
      </w:r>
    </w:p>
    <w:p w14:paraId="3C4495E0" w14:textId="77777777" w:rsidR="00E95A5C" w:rsidRDefault="00E95A5C" w:rsidP="00E95A5C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Simultaneous use of other sedatives</w:t>
      </w:r>
    </w:p>
    <w:p w14:paraId="05CB2AB2" w14:textId="7E3225B3" w:rsidR="00565748" w:rsidRDefault="00E95A5C" w:rsidP="00E95A5C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t>Simultaneous use of p</w:t>
      </w:r>
      <w:r w:rsidR="00565748">
        <w:t>ropofol</w:t>
      </w:r>
      <w:r w:rsidR="003423CA">
        <w:t xml:space="preserve"> (Y/N)</w:t>
      </w:r>
      <w:r w:rsidR="00565748">
        <w:t xml:space="preserve"> </w:t>
      </w:r>
    </w:p>
    <w:p w14:paraId="05CB2AB3" w14:textId="4EAD40ED" w:rsidR="00DA4399" w:rsidRDefault="00E95A5C" w:rsidP="00565748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t>Simultaneous use of k</w:t>
      </w:r>
      <w:r w:rsidR="00DA4399">
        <w:t>etamine</w:t>
      </w:r>
      <w:r w:rsidR="003423CA">
        <w:t xml:space="preserve"> (Y/N)</w:t>
      </w:r>
    </w:p>
    <w:p w14:paraId="05CB2AB4" w14:textId="48907B72" w:rsidR="00565748" w:rsidRDefault="00E95A5C" w:rsidP="00565748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t>Simultaneous use of b</w:t>
      </w:r>
      <w:r w:rsidR="003423CA">
        <w:t>enzodiazepine (Y/N)</w:t>
      </w:r>
    </w:p>
    <w:p w14:paraId="05CB2AB5" w14:textId="7D31F18D" w:rsidR="00565748" w:rsidRDefault="00E95A5C" w:rsidP="00565748">
      <w:pPr>
        <w:pStyle w:val="ListParagraph"/>
        <w:numPr>
          <w:ilvl w:val="3"/>
          <w:numId w:val="4"/>
        </w:numPr>
        <w:spacing w:after="0" w:line="240" w:lineRule="auto"/>
        <w:jc w:val="both"/>
      </w:pPr>
      <w:r>
        <w:t>Simultaneous use of o</w:t>
      </w:r>
      <w:r w:rsidR="003423CA">
        <w:t>pioids (Y/N)</w:t>
      </w:r>
    </w:p>
    <w:p w14:paraId="05CB2AB6" w14:textId="77777777" w:rsidR="005A601B" w:rsidRDefault="005A601B" w:rsidP="005A601B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Average rate of dexmedetomidine per hospital course</w:t>
      </w:r>
    </w:p>
    <w:p w14:paraId="05CB2AB7" w14:textId="77777777" w:rsidR="00DA4399" w:rsidRDefault="00DA4399" w:rsidP="00DA4399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 xml:space="preserve">Safety outcomes </w:t>
      </w:r>
    </w:p>
    <w:p w14:paraId="05CB2AB8" w14:textId="77777777" w:rsidR="00DA4399" w:rsidRDefault="00DA4399" w:rsidP="00DA4399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Bradycardic incidence (HR &lt;</w:t>
      </w:r>
      <w:r w:rsidR="00BC5D97">
        <w:t xml:space="preserve"> </w:t>
      </w:r>
      <w:r>
        <w:t>55</w:t>
      </w:r>
      <w:r w:rsidR="00BC5D97">
        <w:t xml:space="preserve"> bpm</w:t>
      </w:r>
      <w:r>
        <w:t xml:space="preserve"> or administration of atropine)</w:t>
      </w:r>
    </w:p>
    <w:p w14:paraId="05CB2AB9" w14:textId="77777777" w:rsidR="00DA4399" w:rsidRDefault="00DA4399" w:rsidP="00DA4399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Hypotension</w:t>
      </w:r>
      <w:r w:rsidR="002F469D">
        <w:t xml:space="preserve"> (New onset of SBP</w:t>
      </w:r>
      <w:r w:rsidR="00BC5D97">
        <w:t xml:space="preserve"> </w:t>
      </w:r>
      <w:r w:rsidR="002F469D">
        <w:t>&lt;</w:t>
      </w:r>
      <w:r w:rsidR="00BC5D97">
        <w:t xml:space="preserve"> </w:t>
      </w:r>
      <w:r w:rsidR="002F469D">
        <w:t>80</w:t>
      </w:r>
      <w:r w:rsidR="00BC5D97">
        <w:t xml:space="preserve"> mmHg, </w:t>
      </w:r>
      <w:r w:rsidR="002F469D">
        <w:t>MAP</w:t>
      </w:r>
      <w:r w:rsidR="00BC5D97">
        <w:t xml:space="preserve"> </w:t>
      </w:r>
      <w:r w:rsidR="002F469D">
        <w:t>&lt;</w:t>
      </w:r>
      <w:r w:rsidR="00BC5D97">
        <w:t xml:space="preserve"> 60, or </w:t>
      </w:r>
      <w:r w:rsidR="002F469D">
        <w:t xml:space="preserve">requiring vasopressors) </w:t>
      </w:r>
    </w:p>
    <w:p w14:paraId="05CB2ABA" w14:textId="77777777" w:rsidR="00565748" w:rsidRDefault="00565748" w:rsidP="00565748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Cost</w:t>
      </w:r>
    </w:p>
    <w:p w14:paraId="05CB2ABB" w14:textId="77777777" w:rsidR="00565748" w:rsidRDefault="00565748" w:rsidP="00565748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Daily average cost of dexmedetomidine</w:t>
      </w:r>
    </w:p>
    <w:p w14:paraId="05CB2ABC" w14:textId="77777777" w:rsidR="00DA4399" w:rsidRDefault="00DA4399" w:rsidP="00565748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>Total cost of dexmedetomidine per patient</w:t>
      </w:r>
    </w:p>
    <w:p w14:paraId="05CB2ABD" w14:textId="6470A89F" w:rsidR="00DA4399" w:rsidRDefault="00DA4399" w:rsidP="00565748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 xml:space="preserve">Cumulative cost of </w:t>
      </w:r>
      <w:r w:rsidR="00E95A5C">
        <w:t>ICU</w:t>
      </w:r>
      <w:r>
        <w:t xml:space="preserve"> stay (MV days + drugs + ICU days)</w:t>
      </w:r>
    </w:p>
    <w:p w14:paraId="05CB2ABE" w14:textId="77777777" w:rsidR="009B56C3" w:rsidRPr="00E16733" w:rsidRDefault="009B56C3" w:rsidP="008978A3">
      <w:pPr>
        <w:spacing w:after="0" w:line="240" w:lineRule="auto"/>
        <w:jc w:val="both"/>
        <w:rPr>
          <w:u w:val="single"/>
        </w:rPr>
      </w:pPr>
    </w:p>
    <w:p w14:paraId="05CB2ABF" w14:textId="77777777" w:rsidR="008978A3" w:rsidRPr="00E16733" w:rsidRDefault="008978A3" w:rsidP="008978A3">
      <w:pPr>
        <w:spacing w:after="0" w:line="240" w:lineRule="auto"/>
        <w:jc w:val="both"/>
        <w:rPr>
          <w:u w:val="single"/>
        </w:rPr>
      </w:pPr>
      <w:r w:rsidRPr="00E16733">
        <w:rPr>
          <w:u w:val="single"/>
        </w:rPr>
        <w:t>PHYSICIAN CHAMPION:</w:t>
      </w:r>
      <w:r w:rsidR="00565748">
        <w:t xml:space="preserve">  Bela Patel</w:t>
      </w:r>
      <w:r w:rsidRPr="00E16733">
        <w:t>, MD</w:t>
      </w:r>
    </w:p>
    <w:p w14:paraId="05CB2AC0" w14:textId="77777777" w:rsidR="008978A3" w:rsidRPr="00E16733" w:rsidRDefault="008978A3" w:rsidP="008978A3">
      <w:pPr>
        <w:pStyle w:val="ListParagraph"/>
        <w:spacing w:after="0" w:line="240" w:lineRule="auto"/>
        <w:jc w:val="both"/>
        <w:rPr>
          <w:u w:val="single"/>
        </w:rPr>
      </w:pPr>
    </w:p>
    <w:p w14:paraId="05CB2AC1" w14:textId="77777777" w:rsidR="008978A3" w:rsidRPr="00E16733" w:rsidRDefault="008978A3" w:rsidP="008978A3">
      <w:pPr>
        <w:spacing w:after="0" w:line="240" w:lineRule="auto"/>
        <w:jc w:val="both"/>
      </w:pPr>
      <w:r w:rsidRPr="00E16733">
        <w:rPr>
          <w:u w:val="single"/>
        </w:rPr>
        <w:t>REFERENCE:</w:t>
      </w:r>
      <w:r w:rsidRPr="00E16733">
        <w:t xml:space="preserve"> </w:t>
      </w:r>
    </w:p>
    <w:p w14:paraId="05CB2AC2" w14:textId="77777777" w:rsidR="00AD7B58" w:rsidRDefault="00AD7B58" w:rsidP="00C91F2C">
      <w:pPr>
        <w:pStyle w:val="desc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Riker RR, et al., Dexmedetomidine vs midazolam for sedation of critically ill patients. </w:t>
      </w:r>
      <w:r w:rsidRPr="00AD7B58">
        <w:rPr>
          <w:rFonts w:ascii="Calibri" w:hAnsi="Calibri"/>
          <w:i/>
          <w:sz w:val="22"/>
          <w:szCs w:val="22"/>
        </w:rPr>
        <w:t>JAMA</w:t>
      </w:r>
      <w:r>
        <w:rPr>
          <w:rFonts w:ascii="Calibri" w:hAnsi="Calibri"/>
          <w:i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2009;301(5):489-499</w:t>
      </w:r>
    </w:p>
    <w:p w14:paraId="05CB2AC3" w14:textId="77777777" w:rsidR="00E7186E" w:rsidRDefault="00AD7B58" w:rsidP="00C91F2C">
      <w:pPr>
        <w:pStyle w:val="desc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Pandharipande PP, et al., Effect of sedation with dexmedetomidine vs lorazepam on acute brain dysfunction in mechanically ventilated patients. </w:t>
      </w:r>
      <w:r>
        <w:rPr>
          <w:rFonts w:ascii="Calibri" w:hAnsi="Calibri"/>
          <w:i/>
          <w:sz w:val="22"/>
          <w:szCs w:val="22"/>
        </w:rPr>
        <w:t>JAMA</w:t>
      </w:r>
      <w:r>
        <w:rPr>
          <w:rFonts w:ascii="Calibri" w:hAnsi="Calibri"/>
          <w:sz w:val="22"/>
          <w:szCs w:val="22"/>
        </w:rPr>
        <w:t xml:space="preserve">. 2007;298(22):2644-2653 </w:t>
      </w:r>
    </w:p>
    <w:p w14:paraId="05CB2AC4" w14:textId="77777777" w:rsidR="00242F61" w:rsidRPr="00C91F2C" w:rsidRDefault="00242F61" w:rsidP="00C91F2C">
      <w:pPr>
        <w:pStyle w:val="desc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Dasta JF, et al., A cost-minimization analysis of dexmedetomidine compared with midazolam for long-term sedation in the intensive care unit. </w:t>
      </w:r>
      <w:r>
        <w:rPr>
          <w:rFonts w:ascii="Calibri" w:hAnsi="Calibri"/>
          <w:i/>
          <w:sz w:val="22"/>
          <w:szCs w:val="22"/>
        </w:rPr>
        <w:t>Crit Care Med.</w:t>
      </w:r>
      <w:r>
        <w:rPr>
          <w:rFonts w:ascii="Calibri" w:hAnsi="Calibri"/>
          <w:sz w:val="22"/>
          <w:szCs w:val="22"/>
        </w:rPr>
        <w:t xml:space="preserve"> 2010;38:497-503</w:t>
      </w:r>
    </w:p>
    <w:sectPr w:rsidR="00242F61" w:rsidRPr="00C91F2C" w:rsidSect="0089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B2AC7" w14:textId="77777777" w:rsidR="00DA24A1" w:rsidRDefault="00DA24A1" w:rsidP="005550EF">
      <w:pPr>
        <w:spacing w:after="0" w:line="240" w:lineRule="auto"/>
      </w:pPr>
      <w:r>
        <w:separator/>
      </w:r>
    </w:p>
  </w:endnote>
  <w:endnote w:type="continuationSeparator" w:id="0">
    <w:p w14:paraId="05CB2AC8" w14:textId="77777777" w:rsidR="00DA24A1" w:rsidRDefault="00DA24A1" w:rsidP="0055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B2AC5" w14:textId="77777777" w:rsidR="00DA24A1" w:rsidRDefault="00DA24A1" w:rsidP="005550EF">
      <w:pPr>
        <w:spacing w:after="0" w:line="240" w:lineRule="auto"/>
      </w:pPr>
      <w:r>
        <w:separator/>
      </w:r>
    </w:p>
  </w:footnote>
  <w:footnote w:type="continuationSeparator" w:id="0">
    <w:p w14:paraId="05CB2AC6" w14:textId="77777777" w:rsidR="00DA24A1" w:rsidRDefault="00DA24A1" w:rsidP="0055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54F39"/>
    <w:multiLevelType w:val="hybridMultilevel"/>
    <w:tmpl w:val="57247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876571"/>
    <w:multiLevelType w:val="hybridMultilevel"/>
    <w:tmpl w:val="CBE0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B356D"/>
    <w:multiLevelType w:val="hybridMultilevel"/>
    <w:tmpl w:val="E9C49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D61B59"/>
    <w:multiLevelType w:val="hybridMultilevel"/>
    <w:tmpl w:val="C7D0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A3"/>
    <w:rsid w:val="00025075"/>
    <w:rsid w:val="000378DD"/>
    <w:rsid w:val="00090713"/>
    <w:rsid w:val="000B0EC6"/>
    <w:rsid w:val="000C4890"/>
    <w:rsid w:val="000C6CDD"/>
    <w:rsid w:val="000F0C9D"/>
    <w:rsid w:val="00157F1E"/>
    <w:rsid w:val="00242F61"/>
    <w:rsid w:val="002F469D"/>
    <w:rsid w:val="002F6117"/>
    <w:rsid w:val="00302683"/>
    <w:rsid w:val="003423CA"/>
    <w:rsid w:val="00381E4B"/>
    <w:rsid w:val="00390099"/>
    <w:rsid w:val="003D7B7F"/>
    <w:rsid w:val="004152FC"/>
    <w:rsid w:val="00430E4D"/>
    <w:rsid w:val="004472AD"/>
    <w:rsid w:val="00463A95"/>
    <w:rsid w:val="00490364"/>
    <w:rsid w:val="004A0BF3"/>
    <w:rsid w:val="005550EF"/>
    <w:rsid w:val="00565748"/>
    <w:rsid w:val="005A23FC"/>
    <w:rsid w:val="005A601B"/>
    <w:rsid w:val="005B596D"/>
    <w:rsid w:val="00662F56"/>
    <w:rsid w:val="00712D95"/>
    <w:rsid w:val="007407E4"/>
    <w:rsid w:val="007447DA"/>
    <w:rsid w:val="00784D53"/>
    <w:rsid w:val="00814AF4"/>
    <w:rsid w:val="00856100"/>
    <w:rsid w:val="0089576E"/>
    <w:rsid w:val="008978A3"/>
    <w:rsid w:val="009178DC"/>
    <w:rsid w:val="00953943"/>
    <w:rsid w:val="009B56C3"/>
    <w:rsid w:val="009C0C43"/>
    <w:rsid w:val="009D7A31"/>
    <w:rsid w:val="00AA11B0"/>
    <w:rsid w:val="00AC510C"/>
    <w:rsid w:val="00AD007B"/>
    <w:rsid w:val="00AD7B58"/>
    <w:rsid w:val="00B06442"/>
    <w:rsid w:val="00B21926"/>
    <w:rsid w:val="00BC5D97"/>
    <w:rsid w:val="00BF30AA"/>
    <w:rsid w:val="00BF5AC8"/>
    <w:rsid w:val="00BF6FE9"/>
    <w:rsid w:val="00C5424D"/>
    <w:rsid w:val="00C91F2C"/>
    <w:rsid w:val="00DA24A1"/>
    <w:rsid w:val="00DA4399"/>
    <w:rsid w:val="00DD1B18"/>
    <w:rsid w:val="00E239B7"/>
    <w:rsid w:val="00E30BE7"/>
    <w:rsid w:val="00E427A5"/>
    <w:rsid w:val="00E7186E"/>
    <w:rsid w:val="00E95A5C"/>
    <w:rsid w:val="00F25776"/>
    <w:rsid w:val="00F46050"/>
    <w:rsid w:val="00F83664"/>
    <w:rsid w:val="00FB7412"/>
    <w:rsid w:val="00FB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2A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8A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A3"/>
    <w:pPr>
      <w:ind w:left="720"/>
      <w:contextualSpacing/>
    </w:pPr>
  </w:style>
  <w:style w:type="paragraph" w:customStyle="1" w:styleId="desc">
    <w:name w:val="desc"/>
    <w:basedOn w:val="Normal"/>
    <w:rsid w:val="008978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jrnl">
    <w:name w:val="jrnl"/>
    <w:basedOn w:val="DefaultParagraphFont"/>
    <w:rsid w:val="008978A3"/>
  </w:style>
  <w:style w:type="character" w:styleId="CommentReference">
    <w:name w:val="annotation reference"/>
    <w:basedOn w:val="DefaultParagraphFont"/>
    <w:uiPriority w:val="99"/>
    <w:semiHidden/>
    <w:unhideWhenUsed/>
    <w:rsid w:val="005B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9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9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5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E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5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E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8A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A3"/>
    <w:pPr>
      <w:ind w:left="720"/>
      <w:contextualSpacing/>
    </w:pPr>
  </w:style>
  <w:style w:type="paragraph" w:customStyle="1" w:styleId="desc">
    <w:name w:val="desc"/>
    <w:basedOn w:val="Normal"/>
    <w:rsid w:val="008978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jrnl">
    <w:name w:val="jrnl"/>
    <w:basedOn w:val="DefaultParagraphFont"/>
    <w:rsid w:val="008978A3"/>
  </w:style>
  <w:style w:type="character" w:styleId="CommentReference">
    <w:name w:val="annotation reference"/>
    <w:basedOn w:val="DefaultParagraphFont"/>
    <w:uiPriority w:val="99"/>
    <w:semiHidden/>
    <w:unhideWhenUsed/>
    <w:rsid w:val="005B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9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9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5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E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55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E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0B6F49BB58643A93DF8BFF427B12C" ma:contentTypeVersion="0" ma:contentTypeDescription="Create a new document." ma:contentTypeScope="" ma:versionID="d911ababfb78a7bd8d3e1d15b856fc2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720F5-3B1B-4D41-A17A-15CCB72E6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4D11DC8-27E4-44E4-A556-550A24C30A40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8B66BC6-016A-4EBD-B6FF-BC03AB1B97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0E5A54-E1B6-49DB-8506-54835B78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MHHS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e1527481</dc:creator>
  <cp:lastModifiedBy>Sobhanian, Minoosh</cp:lastModifiedBy>
  <cp:revision>2</cp:revision>
  <dcterms:created xsi:type="dcterms:W3CDTF">2016-03-03T21:24:00Z</dcterms:created>
  <dcterms:modified xsi:type="dcterms:W3CDTF">2016-03-03T21:24:00Z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0x0101001DF0B6F49BB58643A93DF8BFF427B12C</vt:lpwstr>
  </property>
</Properties>
</file>