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33.png" ContentType="image/png"/>
  <Override PartName="/word/media/rId46.png" ContentType="image/png"/>
  <Override PartName="/word/media/rId25.png" ContentType="image/png"/>
  <Override PartName="/word/media/rId26.png" ContentType="image/png"/>
  <Override PartName="/word/media/rId34.png" ContentType="image/png"/>
  <Override PartName="/word/media/rId47.png" ContentType="image/png"/>
  <Override PartName="/word/media/rId44.png" ContentType="image/png"/>
  <Override PartName="/word/media/rId27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55.png" ContentType="image/png"/>
  <Override PartName="/word/media/rId54.png" ContentType="image/png"/>
  <Override PartName="/word/media/rId32.png" ContentType="image/png"/>
  <Override PartName="/word/media/rId45.png" ContentType="image/png"/>
  <Override PartName="/word/media/rId36.png" ContentType="image/png"/>
  <Override PartName="/word/media/rId37.png" ContentType="image/png"/>
  <Override PartName="/word/media/rId50.png" ContentType="image/png"/>
  <Override PartName="/word/media/rId49.png" ContentType="image/png"/>
  <Override PartName="/word/media/rId40.png" ContentType="image/png"/>
  <Override PartName="/word/media/rId3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Warfarin</w:t>
      </w:r>
      <w:r>
        <w:t xml:space="preserve"> </w:t>
      </w:r>
      <w:r>
        <w:t xml:space="preserve">Pharmacy</w:t>
      </w:r>
      <w:r>
        <w:t xml:space="preserve"> </w:t>
      </w:r>
      <w:r>
        <w:t xml:space="preserve">Dosing</w:t>
      </w:r>
      <w:r>
        <w:t xml:space="preserve"> </w:t>
      </w:r>
      <w:r>
        <w:t xml:space="preserve">Service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Gulbis,</w:t>
      </w:r>
      <w:r>
        <w:t xml:space="preserve"> </w:t>
      </w:r>
      <w:r>
        <w:t xml:space="preserve">PharmD,</w:t>
      </w:r>
      <w:r>
        <w:t xml:space="preserve"> </w:t>
      </w:r>
      <w:r>
        <w:t xml:space="preserve">BCPS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service-utilization"/>
      <w:bookmarkEnd w:id="21"/>
      <w:r>
        <w:t xml:space="preserve">Service Utilization</w:t>
      </w:r>
    </w:p>
    <w:p>
      <w:pPr>
        <w:pStyle w:val="Heading3"/>
      </w:pPr>
      <w:bookmarkStart w:id="22" w:name="annual-warfarin-utilization"/>
      <w:bookmarkEnd w:id="22"/>
      <w:r>
        <w:t xml:space="preserve">Annual Warfarin Utilization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Number of Patients Receiving Warfarin at MH-TMC, 2013-2015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graph_util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Number of Patients Receiving Warfarin at MH-TMC, 2013-2015</w:t>
      </w:r>
    </w:p>
    <w:p>
      <w:pPr>
        <w:pStyle w:val="Heading3"/>
      </w:pPr>
      <w:bookmarkStart w:id="24" w:name="utilization-of-pharmacy-dosing-service"/>
      <w:bookmarkEnd w:id="24"/>
      <w:r>
        <w:t xml:space="preserve">Utilization of Pharmacy Dosing Service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Daily Warfarin Orders Managed by Pharmacy and Traditional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dose_service_u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Daily Warfarin Orders Managed by Pharmacy and Traditional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Percent of Daily Warfarin Orders Managed by Pharmacy Dosing Service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dose_service_us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Percent of Daily Warfarin Orders Managed by Pharmacy Dosing Service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Warfarin Dosing Service Utilization Among Top 10 Medical Services Ordering Warfarin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ds_med_service_cu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Warfarin Dosing Service Utilization Among</w:t>
      </w:r>
      <w:r>
        <w:t xml:space="preserve"> </w:t>
      </w:r>
      <w:r>
        <w:t xml:space="preserve">Top 10 Medical Services Ordering Warfarin</w:t>
      </w:r>
    </w:p>
    <w:p>
      <w:pPr>
        <w:pStyle w:val="Heading2"/>
      </w:pPr>
      <w:bookmarkStart w:id="28" w:name="comparison"/>
      <w:bookmarkEnd w:id="28"/>
      <w:r>
        <w:t xml:space="preserve">Comparison</w:t>
      </w:r>
    </w:p>
    <w:p>
      <w:pPr>
        <w:pStyle w:val="Compact"/>
        <w:numPr>
          <w:numId w:val="1001"/>
          <w:ilvl w:val="0"/>
        </w:numPr>
      </w:pPr>
      <w:r>
        <w:t xml:space="preserve">Group 1 - Pharmacy Dosing Service</w:t>
      </w:r>
    </w:p>
    <w:p>
      <w:pPr>
        <w:pStyle w:val="Compact"/>
        <w:numPr>
          <w:numId w:val="1002"/>
          <w:ilvl w:val="1"/>
        </w:numPr>
      </w:pPr>
      <w:r>
        <w:t xml:space="preserve">Consult placed within 48 hours of warfarin initiation</w:t>
      </w:r>
    </w:p>
    <w:p>
      <w:pPr>
        <w:pStyle w:val="Compact"/>
        <w:numPr>
          <w:numId w:val="1002"/>
          <w:ilvl w:val="1"/>
        </w:numPr>
      </w:pPr>
      <w:r>
        <w:t xml:space="preserve">At least 60% of warfarin doses placed by pharmacist</w:t>
      </w:r>
    </w:p>
    <w:p>
      <w:pPr>
        <w:pStyle w:val="Compact"/>
        <w:numPr>
          <w:numId w:val="1001"/>
          <w:ilvl w:val="0"/>
        </w:numPr>
      </w:pPr>
      <w:r>
        <w:t xml:space="preserve">Group 2 - Traditional Dosing</w:t>
      </w:r>
    </w:p>
    <w:p>
      <w:pPr>
        <w:pStyle w:val="Heading4"/>
      </w:pPr>
      <w:bookmarkStart w:id="29" w:name="inclusion"/>
      <w:bookmarkEnd w:id="29"/>
      <w:r>
        <w:t xml:space="preserve">Inclusion</w:t>
      </w:r>
    </w:p>
    <w:p>
      <w:pPr>
        <w:pStyle w:val="Compact"/>
        <w:numPr>
          <w:numId w:val="1003"/>
          <w:ilvl w:val="0"/>
        </w:numPr>
      </w:pPr>
      <w:r>
        <w:t xml:space="preserve">January 1, 2015 to December 31, 2015</w:t>
      </w:r>
    </w:p>
    <w:p>
      <w:pPr>
        <w:pStyle w:val="Compact"/>
        <w:numPr>
          <w:numId w:val="1003"/>
          <w:ilvl w:val="0"/>
        </w:numPr>
      </w:pPr>
      <w:r>
        <w:t xml:space="preserve">Age 18 years or greater</w:t>
      </w:r>
    </w:p>
    <w:p>
      <w:pPr>
        <w:pStyle w:val="Compact"/>
        <w:numPr>
          <w:numId w:val="1003"/>
          <w:ilvl w:val="0"/>
        </w:numPr>
      </w:pPr>
      <w:r>
        <w:t xml:space="preserve">Received at least 3 doses of warfarin</w:t>
      </w:r>
    </w:p>
    <w:p>
      <w:pPr>
        <w:pStyle w:val="Compact"/>
        <w:numPr>
          <w:numId w:val="1003"/>
          <w:ilvl w:val="0"/>
        </w:numPr>
      </w:pPr>
      <w:r>
        <w:t xml:space="preserve">Baseline INR &lt; 1.5</w:t>
      </w:r>
    </w:p>
    <w:p>
      <w:pPr>
        <w:pStyle w:val="Heading4"/>
      </w:pPr>
      <w:bookmarkStart w:id="30" w:name="exclusion"/>
      <w:bookmarkEnd w:id="30"/>
      <w:r>
        <w:t xml:space="preserve">Exclusion</w:t>
      </w:r>
    </w:p>
    <w:p>
      <w:pPr>
        <w:pStyle w:val="Compact"/>
        <w:numPr>
          <w:numId w:val="1004"/>
          <w:ilvl w:val="0"/>
        </w:numPr>
      </w:pPr>
      <w:r>
        <w:t xml:space="preserve">Concurrent DTI or TSOAC</w:t>
      </w:r>
    </w:p>
    <w:p>
      <w:pPr>
        <w:pStyle w:val="Compact"/>
        <w:numPr>
          <w:numId w:val="1004"/>
          <w:ilvl w:val="0"/>
        </w:numPr>
      </w:pPr>
      <w:r>
        <w:t xml:space="preserve">Liver dysfunction</w:t>
      </w:r>
    </w:p>
    <w:p>
      <w:pPr>
        <w:pStyle w:val="Compact"/>
        <w:numPr>
          <w:numId w:val="1005"/>
          <w:ilvl w:val="1"/>
        </w:numPr>
      </w:pPr>
      <w:r>
        <w:t xml:space="preserve">AST and ALT &gt; 5x ULN (concurrently)</w:t>
      </w:r>
    </w:p>
    <w:p>
      <w:pPr>
        <w:pStyle w:val="Compact"/>
        <w:numPr>
          <w:numId w:val="1005"/>
          <w:ilvl w:val="1"/>
        </w:numPr>
      </w:pPr>
      <w:r>
        <w:t xml:space="preserve">ALT &gt; 10x ULN</w:t>
      </w:r>
    </w:p>
    <w:p>
      <w:pPr>
        <w:pStyle w:val="Compact"/>
        <w:numPr>
          <w:numId w:val="1005"/>
          <w:ilvl w:val="1"/>
        </w:numPr>
      </w:pPr>
      <w:r>
        <w:t xml:space="preserve">T.Bili &gt; 3x ULN</w:t>
      </w:r>
    </w:p>
    <w:p>
      <w:pPr>
        <w:pStyle w:val="Compact"/>
        <w:numPr>
          <w:numId w:val="1004"/>
          <w:ilvl w:val="0"/>
        </w:numPr>
      </w:pPr>
      <w:r>
        <w:t xml:space="preserve">Missing goals of therapy data</w:t>
      </w:r>
    </w:p>
    <w:p>
      <w:pPr>
        <w:pStyle w:val="Compact"/>
        <w:numPr>
          <w:numId w:val="1004"/>
          <w:ilvl w:val="0"/>
        </w:numPr>
      </w:pPr>
      <w:r>
        <w:t xml:space="preserve">Readmission encounters</w:t>
      </w:r>
    </w:p>
    <w:p>
      <w:pPr>
        <w:pStyle w:val="Heading3"/>
      </w:pPr>
      <w:bookmarkStart w:id="31" w:name="results"/>
      <w:bookmarkEnd w:id="31"/>
      <w:r>
        <w:t xml:space="preserve">Results</w:t>
      </w:r>
    </w:p>
    <w:p>
      <w:pPr>
        <w:pStyle w:val="TableCaption"/>
      </w:pPr>
      <w:r>
        <w:t xml:space="preserve">Demographics</w:t>
      </w:r>
    </w:p>
    <w:tbl>
      <w:tblPr>
        <w:tblStyle w:val="TableNormal"/>
        <w:tblW w:type="pct" w:w="0.0"/>
        <w:tblLook w:firstRow="1"/>
        <w:tblCaption w:val="Demograph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pharmacy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traditional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p>
            <w:pPr>
              <w:pStyle w:val="Compact"/>
              <w:jc w:val="left"/>
            </w:pPr>
            <w:r>
              <w:t xml:space="preserve">285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Age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58.00 [42.25, 68.75]</w:t>
            </w:r>
          </w:p>
        </w:tc>
        <w:tc>
          <w:p>
            <w:pPr>
              <w:pStyle w:val="Compact"/>
              <w:jc w:val="left"/>
            </w:pPr>
            <w:r>
              <w:t xml:space="preserve">64.00 [54.00, 72.00]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= Male (%)</w:t>
            </w:r>
          </w:p>
        </w:tc>
        <w:tc>
          <w:p>
            <w:pPr>
              <w:pStyle w:val="Compact"/>
              <w:jc w:val="left"/>
            </w:pPr>
            <w:r>
              <w:t xml:space="preserve">240 (59.7)</w:t>
            </w:r>
          </w:p>
        </w:tc>
        <w:tc>
          <w:p>
            <w:pPr>
              <w:pStyle w:val="Compact"/>
              <w:jc w:val="left"/>
            </w:pPr>
            <w:r>
              <w:t xml:space="preserve">182 (64.1)</w:t>
            </w:r>
          </w:p>
        </w:tc>
        <w:tc>
          <w:p>
            <w:pPr>
              <w:pStyle w:val="Compact"/>
              <w:jc w:val="left"/>
            </w:pPr>
            <w:r>
              <w:t xml:space="preserve">0.279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28.48 [24.40, 33.54]</w:t>
            </w:r>
          </w:p>
        </w:tc>
        <w:tc>
          <w:p>
            <w:pPr>
              <w:pStyle w:val="Compact"/>
              <w:jc w:val="left"/>
            </w:pPr>
            <w:r>
              <w:t xml:space="preserve">29.32 [25.18, 33.68]</w:t>
            </w:r>
          </w:p>
        </w:tc>
        <w:tc>
          <w:p>
            <w:pPr>
              <w:pStyle w:val="Compact"/>
              <w:jc w:val="lef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African American</w:t>
            </w:r>
          </w:p>
        </w:tc>
        <w:tc>
          <w:p>
            <w:pPr>
              <w:pStyle w:val="Compact"/>
              <w:jc w:val="left"/>
            </w:pPr>
            <w:r>
              <w:t xml:space="preserve">104 (28.4)</w:t>
            </w:r>
          </w:p>
        </w:tc>
        <w:tc>
          <w:p>
            <w:pPr>
              <w:pStyle w:val="Compact"/>
              <w:jc w:val="left"/>
            </w:pPr>
            <w:r>
              <w:t xml:space="preserve">74 (27.9)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Asian</w:t>
            </w:r>
          </w:p>
        </w:tc>
        <w:tc>
          <w:p>
            <w:pPr>
              <w:pStyle w:val="Compact"/>
              <w:jc w:val="left"/>
            </w:pPr>
            <w:r>
              <w:t xml:space="preserve">12 ( 3.3)</w:t>
            </w:r>
          </w:p>
        </w:tc>
        <w:tc>
          <w:p>
            <w:pPr>
              <w:pStyle w:val="Compact"/>
              <w:jc w:val="left"/>
            </w:pPr>
            <w:r>
              <w:t xml:space="preserve">1 ( 0.4)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Native Am.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 ( 0.4)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Other</w:t>
            </w:r>
          </w:p>
        </w:tc>
        <w:tc>
          <w:p>
            <w:pPr>
              <w:pStyle w:val="Compact"/>
              <w:jc w:val="left"/>
            </w:pPr>
            <w:r>
              <w:t xml:space="preserve">78 (21.3)</w:t>
            </w:r>
          </w:p>
        </w:tc>
        <w:tc>
          <w:p>
            <w:pPr>
              <w:pStyle w:val="Compact"/>
              <w:jc w:val="left"/>
            </w:pPr>
            <w:r>
              <w:t xml:space="preserve">59 (22.3)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White/Caucasian</w:t>
            </w:r>
          </w:p>
        </w:tc>
        <w:tc>
          <w:p>
            <w:pPr>
              <w:pStyle w:val="Compact"/>
              <w:jc w:val="left"/>
            </w:pPr>
            <w:r>
              <w:t xml:space="preserve">172 (47.0)</w:t>
            </w:r>
          </w:p>
        </w:tc>
        <w:tc>
          <w:p>
            <w:pPr>
              <w:pStyle w:val="Compact"/>
              <w:jc w:val="left"/>
            </w:pPr>
            <w:r>
              <w:t xml:space="preserve">130 (49.1)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Length of Stay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12.10 [7.71, 19.83]</w:t>
            </w:r>
          </w:p>
        </w:tc>
        <w:tc>
          <w:p>
            <w:pPr>
              <w:pStyle w:val="Compact"/>
              <w:jc w:val="left"/>
            </w:pPr>
            <w:r>
              <w:t xml:space="preserve">13.71 [8.04, 24.17]</w:t>
            </w:r>
          </w:p>
        </w:tc>
        <w:tc>
          <w:p>
            <w:pPr>
              <w:pStyle w:val="Compact"/>
              <w:jc w:val="left"/>
            </w:pPr>
            <w:r>
              <w:t xml:space="preserve">0.103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Therapy = New/Previous (%)</w:t>
            </w:r>
          </w:p>
        </w:tc>
        <w:tc>
          <w:p>
            <w:pPr>
              <w:pStyle w:val="Compact"/>
              <w:jc w:val="left"/>
            </w:pPr>
            <w:r>
              <w:t xml:space="preserve">270/132 (67.2/32.8)</w:t>
            </w:r>
          </w:p>
        </w:tc>
        <w:tc>
          <w:p>
            <w:pPr>
              <w:pStyle w:val="Compact"/>
              <w:jc w:val="left"/>
            </w:pPr>
            <w:r>
              <w:t xml:space="preserve">143/142 (50.2/49.8)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FigureWithCaption"/>
      </w:pPr>
      <w:r>
        <w:drawing>
          <wp:inline>
            <wp:extent cx="4620126" cy="3696101"/>
            <wp:effectExtent b="0" l="0" r="0" t="0"/>
            <wp:docPr descr="Indications for warfarin use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indic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Indications for warfarin use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Disposition on discharge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disposi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Disposition on discharge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Inpatient Dosing Days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dosing_day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Inpatient Dosing Days</w:t>
      </w:r>
    </w:p>
    <w:p>
      <w:pPr>
        <w:pStyle w:val="Heading3"/>
      </w:pPr>
      <w:bookmarkStart w:id="35" w:name="efficacy-endpoints"/>
      <w:bookmarkEnd w:id="35"/>
      <w:r>
        <w:t xml:space="preserve">Efficacy Endpoints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INR response after starting warfarin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in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INR response after starting warfarin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Change in INR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in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Change in INR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Percent of time INR is within therapeutic range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tt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Percent of time INR is within therapeutic range</w:t>
      </w:r>
    </w:p>
    <w:p>
      <w:pPr>
        <w:pStyle w:val="Heading3"/>
      </w:pPr>
      <w:bookmarkStart w:id="39" w:name="safety-endpoints"/>
      <w:bookmarkEnd w:id="39"/>
      <w:r>
        <w:t xml:space="preserve">Safety Endpoints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Percent of time INR is critical (above 4)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time_above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Percent of time INR is critical (above 4)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Change in hemoglobin after starting warfarin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hg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Change in hemoglobin after starting warfarin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Change in Hemoglobin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hgb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Change in Hemoglobin</w:t>
      </w:r>
    </w:p>
    <w:p>
      <w:pPr>
        <w:pStyle w:val="Heading2"/>
      </w:pPr>
      <w:bookmarkStart w:id="43" w:name="historical-comparison"/>
      <w:bookmarkEnd w:id="43"/>
      <w:r>
        <w:t xml:space="preserve">Historical Comparison</w:t>
      </w:r>
    </w:p>
    <w:p>
      <w:pPr>
        <w:pStyle w:val="Compact"/>
        <w:numPr>
          <w:numId w:val="1006"/>
          <w:ilvl w:val="0"/>
        </w:numPr>
      </w:pPr>
      <w:r>
        <w:t xml:space="preserve">Pharmacy Dosing Service 2015 vs. 2013-2014</w:t>
      </w:r>
    </w:p>
    <w:p>
      <w:pPr>
        <w:pStyle w:val="Compact"/>
        <w:numPr>
          <w:numId w:val="1006"/>
          <w:ilvl w:val="0"/>
        </w:numPr>
      </w:pPr>
      <w:r>
        <w:t xml:space="preserve">Same inclusion and exclusion criteria</w:t>
      </w:r>
    </w:p>
    <w:p>
      <w:pPr>
        <w:pStyle w:val="TableCaption"/>
      </w:pPr>
      <w:r>
        <w:t xml:space="preserve">Demographics</w:t>
      </w:r>
    </w:p>
    <w:tbl>
      <w:tblPr>
        <w:tblStyle w:val="TableNormal"/>
        <w:tblW w:type="pct" w:w="0.0"/>
        <w:tblLook w:firstRow="1"/>
        <w:tblCaption w:val="Demograph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historical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p>
            <w:pPr>
              <w:pStyle w:val="Compact"/>
              <w:jc w:val="left"/>
            </w:pPr>
            <w:r>
              <w:t xml:space="preserve">866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Age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58.00 [42.25, 68.75]</w:t>
            </w:r>
          </w:p>
        </w:tc>
        <w:tc>
          <w:p>
            <w:pPr>
              <w:pStyle w:val="Compact"/>
              <w:jc w:val="left"/>
            </w:pPr>
            <w:r>
              <w:t xml:space="preserve">59.00 [46.00, 71.00]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= Male (%)</w:t>
            </w:r>
          </w:p>
        </w:tc>
        <w:tc>
          <w:p>
            <w:pPr>
              <w:pStyle w:val="Compact"/>
              <w:jc w:val="left"/>
            </w:pPr>
            <w:r>
              <w:t xml:space="preserve">240 (59.7)</w:t>
            </w:r>
          </w:p>
        </w:tc>
        <w:tc>
          <w:p>
            <w:pPr>
              <w:pStyle w:val="Compact"/>
              <w:jc w:val="left"/>
            </w:pPr>
            <w:r>
              <w:t xml:space="preserve">505 (58.3)</w:t>
            </w:r>
          </w:p>
        </w:tc>
        <w:tc>
          <w:p>
            <w:pPr>
              <w:pStyle w:val="Compact"/>
              <w:jc w:val="left"/>
            </w:pPr>
            <w:r>
              <w:t xml:space="preserve">0.685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 (mean (sd))</w:t>
            </w:r>
          </w:p>
        </w:tc>
        <w:tc>
          <w:p>
            <w:pPr>
              <w:pStyle w:val="Compact"/>
              <w:jc w:val="left"/>
            </w:pPr>
            <w:r>
              <w:t xml:space="preserve">29.95 (8.50)</w:t>
            </w:r>
          </w:p>
        </w:tc>
        <w:tc>
          <w:p>
            <w:pPr>
              <w:pStyle w:val="Compact"/>
              <w:jc w:val="left"/>
            </w:pPr>
            <w:r>
              <w:t xml:space="preserve">29.90 (9.26)</w:t>
            </w:r>
          </w:p>
        </w:tc>
        <w:tc>
          <w:p>
            <w:pPr>
              <w:pStyle w:val="Compact"/>
              <w:jc w:val="left"/>
            </w:pPr>
            <w:r>
              <w:t xml:space="preserve">0.926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African American</w:t>
            </w:r>
          </w:p>
        </w:tc>
        <w:tc>
          <w:p>
            <w:pPr>
              <w:pStyle w:val="Compact"/>
              <w:jc w:val="left"/>
            </w:pPr>
            <w:r>
              <w:t xml:space="preserve">104 (28.4)</w:t>
            </w:r>
          </w:p>
        </w:tc>
        <w:tc>
          <w:p>
            <w:pPr>
              <w:pStyle w:val="Compact"/>
              <w:jc w:val="left"/>
            </w:pPr>
            <w:r>
              <w:t xml:space="preserve">245 (31.2)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Asian</w:t>
            </w:r>
          </w:p>
        </w:tc>
        <w:tc>
          <w:p>
            <w:pPr>
              <w:pStyle w:val="Compact"/>
              <w:jc w:val="left"/>
            </w:pPr>
            <w:r>
              <w:t xml:space="preserve">12 ( 3.3)</w:t>
            </w:r>
          </w:p>
        </w:tc>
        <w:tc>
          <w:p>
            <w:pPr>
              <w:pStyle w:val="Compact"/>
              <w:jc w:val="left"/>
            </w:pPr>
            <w:r>
              <w:t xml:space="preserve">15 ( 1.9)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Latin American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 ( 0.1)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Other</w:t>
            </w:r>
          </w:p>
        </w:tc>
        <w:tc>
          <w:p>
            <w:pPr>
              <w:pStyle w:val="Compact"/>
              <w:jc w:val="left"/>
            </w:pPr>
            <w:r>
              <w:t xml:space="preserve">78 (21.3)</w:t>
            </w:r>
          </w:p>
        </w:tc>
        <w:tc>
          <w:p>
            <w:pPr>
              <w:pStyle w:val="Compact"/>
              <w:jc w:val="left"/>
            </w:pPr>
            <w:r>
              <w:t xml:space="preserve">133 (16.9)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White/Caucasian</w:t>
            </w:r>
          </w:p>
        </w:tc>
        <w:tc>
          <w:p>
            <w:pPr>
              <w:pStyle w:val="Compact"/>
              <w:jc w:val="left"/>
            </w:pPr>
            <w:r>
              <w:t xml:space="preserve">172 (47.0)</w:t>
            </w:r>
          </w:p>
        </w:tc>
        <w:tc>
          <w:p>
            <w:pPr>
              <w:pStyle w:val="Compact"/>
              <w:jc w:val="left"/>
            </w:pPr>
            <w:r>
              <w:t xml:space="preserve">392 (49.9)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-Length of Stay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12.10 [7.71, 19.83]</w:t>
            </w:r>
          </w:p>
        </w:tc>
        <w:tc>
          <w:p>
            <w:pPr>
              <w:pStyle w:val="Compact"/>
              <w:jc w:val="left"/>
            </w:pPr>
            <w:r>
              <w:t xml:space="preserve">11.85 [7.38, 18.62]</w:t>
            </w:r>
          </w:p>
        </w:tc>
        <w:tc>
          <w:p>
            <w:pPr>
              <w:pStyle w:val="Compact"/>
              <w:jc w:val="left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Therapy = New/Previous (%)</w:t>
            </w:r>
          </w:p>
        </w:tc>
        <w:tc>
          <w:p>
            <w:pPr>
              <w:pStyle w:val="Compact"/>
              <w:jc w:val="left"/>
            </w:pPr>
            <w:r>
              <w:t xml:space="preserve">270/132 (67.2/32.8)</w:t>
            </w:r>
          </w:p>
        </w:tc>
        <w:tc>
          <w:p>
            <w:pPr>
              <w:pStyle w:val="Compact"/>
              <w:jc w:val="left"/>
            </w:pPr>
            <w:r>
              <w:t xml:space="preserve">604/262 (69.7/30.3)</w:t>
            </w:r>
          </w:p>
        </w:tc>
        <w:tc>
          <w:p>
            <w:pPr>
              <w:pStyle w:val="Compact"/>
              <w:jc w:val="left"/>
            </w:pPr>
            <w:r>
              <w:t xml:space="preserve">0.390</w:t>
            </w:r>
          </w:p>
        </w:tc>
      </w:tr>
    </w:tbl>
    <w:p>
      <w:pPr>
        <w:pStyle w:val="FigureWithCaption"/>
      </w:pPr>
      <w:r>
        <w:drawing>
          <wp:inline>
            <wp:extent cx="4620126" cy="3696101"/>
            <wp:effectExtent b="0" l="0" r="0" t="0"/>
            <wp:docPr descr="Warfarin Dosing Service Utilization Among Top 10 Medical Services Ordering Warfarin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ds_med_serv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Warfarin Dosing Service Utilization Among</w:t>
      </w:r>
      <w:r>
        <w:t xml:space="preserve"> </w:t>
      </w:r>
      <w:r>
        <w:t xml:space="preserve">Top 10 Medical Services Ordering Warfarin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Indications for warfarin use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indications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Indications for warfarin use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Disposition on discharge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disposition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Disposition on discharge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Inpatient Dosing Days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dosing_days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Inpatient Dosing Days</w:t>
      </w:r>
    </w:p>
    <w:p>
      <w:pPr>
        <w:pStyle w:val="Heading3"/>
      </w:pPr>
      <w:bookmarkStart w:id="48" w:name="efficacy-endpoints-1"/>
      <w:bookmarkEnd w:id="48"/>
      <w:r>
        <w:t xml:space="preserve">Efficacy Endpoints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Change in INR after starting warfarin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inr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Change in INR after starting warfarin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Change in INR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inr2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Change in INR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Percent of time INR is within therapeutic range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ttr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Percent of time INR is within therapeutic range</w:t>
      </w:r>
    </w:p>
    <w:p>
      <w:pPr>
        <w:pStyle w:val="Heading3"/>
      </w:pPr>
      <w:bookmarkStart w:id="52" w:name="safety-endpoints-1"/>
      <w:bookmarkEnd w:id="52"/>
      <w:r>
        <w:t xml:space="preserve">Safety Endpoints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Percent of time INR is critical (above 4)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critical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Percent of time INR is critical (above 4)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Change in hemoglobin after starting warfarin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hgb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Change in hemoglobin after starting warfarin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Change in Hemoglobin" id="1" name="Picture"/>
            <a:graphic>
              <a:graphicData uri="http://schemas.openxmlformats.org/drawingml/2006/picture">
                <pic:pic>
                  <pic:nvPicPr>
                    <pic:cNvPr descr="warfarin_analysis_ASHP_files/figure-docx/hgb2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Change in Hemoglobin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0fcb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40f1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47" Target="media/rId47.png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55" Target="media/rId55.png" /><Relationship Type="http://schemas.openxmlformats.org/officeDocument/2006/relationships/image" Id="rId54" Target="media/rId54.png" /><Relationship Type="http://schemas.openxmlformats.org/officeDocument/2006/relationships/image" Id="rId32" Target="media/rId32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50" Target="media/rId50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Warfarin Pharmacy Dosing Service Analysis</dc:title>
  <dc:creator>Brian Gulbis, PharmD, BCPS</dc:creator>
</cp:coreProperties>
</file>