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订单录入模块功能说明</w:t>
      </w:r>
    </w:p>
    <w:p>
      <w:r>
        <w:t>适用人员：办公室录单人员、管理人员、后续开发和交接人员。适用范围：电脑端的订单录入与正式报价工作台。</w:t>
      </w:r>
    </w:p>
    <w:p>
      <w:r>
        <w:t>本文说明从客户来单到正式订单的操作方法、拆单规则、价格保护和异常处理。录单确认完成后，办公室仍需对每笔订单安排出库或生产排单。本文对应2026年10月25日拆单入口接入版，发布状态及验证记录见第六部分。</w:t>
      </w:r>
    </w:p>
    <w:p>
      <w:pPr>
        <w:pStyle w:val="Heading1"/>
      </w:pPr>
      <w:r>
        <w:t>一 模块职责与业务流程</w:t>
      </w:r>
    </w:p>
    <w:p>
      <w:r>
        <w:t>办公室是订单分流中心。微信群来单由办公室复制文字并录入，不自动读取群聊。小程序来单先形成待审核草稿，不能未经办公室确认直接成为正式订单。</w:t>
      </w:r>
    </w:p>
    <w:p>
      <w:r>
        <w:t>正常操作顺序：粘贴原文 → 识别草稿 → 核对明细 → 必要时拆行 → 保存或生成正式报价 → 核对金额 → 普通确认或预览拆单后确认 → 到订单池排单。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288"/>
        <w:gridCol w:w="4309"/>
      </w:tblGrid>
      <w:tr>
        <w:trPr>
          <w:tblHeader/>
          <w:cantSplit/>
        </w:trPr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对象</w:t>
            </w:r>
          </w:p>
        </w:tc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含义</w:t>
            </w:r>
          </w:p>
        </w:tc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对库存和生产的影响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客户原文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本次录入或来单的文字依据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单独保存原文不构成正式接单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订单草稿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已识别、可继续核对的明细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未正式确认前不新增正式库存占用和生产任务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正式订单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办公室已确认接单的订单及明细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后台建立对应价格快照、交付任务，并按规则建立库存占用或生产任务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订单排单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办公室安排后续执行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确认下单不等于已排机、已出库或已交付</w:t>
            </w:r>
          </w:p>
        </w:tc>
      </w:tr>
    </w:tbl>
    <w:p>
      <w:pPr>
        <w:spacing w:after="20"/>
      </w:pPr>
    </w:p>
    <w:p>
      <w:r>
        <w:t>有库存的标准通货安排出库；缺货的标准通货安排生产。定制印刷通货、特殊尺寸空白袋、特殊尺寸印刷袋也要先排产。是否通货、是否有库存、是否印刷是不同事实，不能只凭印不印刷决定是否生产。</w:t>
      </w:r>
    </w:p>
    <w:p>
      <w:r>
        <w:t>特殊尺寸按订单生产和交付，不因此新增普通通货成品库存。印刷合组是计价和生产协同关系，不等同于把原始订单合并或拆单。</w:t>
      </w:r>
    </w:p>
    <w:p>
      <w:pPr>
        <w:pStyle w:val="Heading1"/>
        <w:pageBreakBefore/>
      </w:pPr>
      <w:r>
        <w:t>二 识别和核对订单明细</w:t>
      </w:r>
    </w:p>
    <w:p>
      <w:r>
        <w:t>打开订单录入，在“客户订单原文”中粘贴完整消息，点击“识别客户消息”。识别会建立服务器草稿，返回明细和草稿版本。原文可包含多种规格、颜色和交期，识别结果仍须人工核对。</w:t>
      </w:r>
    </w:p>
    <w:p>
      <w:r>
        <w:t>示例：王五包装 30*38*10 红色40个 2099-11-02自提。示例中的客户和日期仅用于说明操作，应以真实客户档案和实际日期为准。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288"/>
        <w:gridCol w:w="4309"/>
      </w:tblGrid>
      <w:tr>
        <w:trPr>
          <w:tblHeader/>
          <w:cantSplit/>
        </w:trPr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需要核对的字段</w:t>
            </w:r>
          </w:p>
        </w:tc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当前页面的操作方式</w:t>
            </w:r>
          </w:p>
        </w:tc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业务注意事项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客户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明细标题显示识别结果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当前页面没有独立客户选择控件；未匹配时核对客户档案及原文后重新识别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订单分类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选择标准通货、印刷通货、定制印刷通货、特殊尺寸或外来袋印刷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分类决定后续业务路径，不能仅按是否印刷推断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规格和袋身颜色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直接修改输入框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规格按宽、高、侧核对；颜色不能与印刷色混用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数量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填写正整数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不能用小数下正式订单，也不能把机器动作数当成袋子数量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提手和是否印刷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在当前行选择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定制印刷另核对印刷内容、印刷面及印刷颜色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交付和需要日期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分别选择或填写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自提、送货、快递快运和日期是正式拆单的重要依据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加扣等特殊要求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在对应行核对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特殊要求会影响报价，不能只留在口头说明中</w:t>
            </w:r>
          </w:p>
        </w:tc>
      </w:tr>
    </w:tbl>
    <w:p>
      <w:pPr>
        <w:spacing w:after="20"/>
      </w:pPr>
    </w:p>
    <w:p>
      <w:r>
        <w:t>修改影响订单或价格的内容后，原正式报价失效，必须重新生成。识别置信度不足的字段仍受后台人工核对规则约束；修改字段不能冒充跳过服务器审核。</w:t>
      </w:r>
    </w:p>
    <w:p>
      <w:r>
        <w:t>小程序草稿保留客户提交时的规格、数量和锁价。当前页不允许把锁价明细任意改写或拆成新明细；需要变更时应走已有正式业务流程。</w:t>
      </w:r>
    </w:p>
    <w:p>
      <w:pPr>
        <w:pStyle w:val="Heading1"/>
        <w:pageBreakBefore/>
      </w:pPr>
      <w:r>
        <w:t>三 拆分明细和拆成独立订单</w:t>
      </w:r>
    </w:p>
    <w:p>
      <w:r>
        <w:t>“拆分明细行”和“按客户/交付拆单”是两个不同动作。拆成两行不代表已经生成两张订单。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288"/>
        <w:gridCol w:w="4309"/>
      </w:tblGrid>
      <w:tr>
        <w:trPr>
          <w:tblHeader/>
          <w:cantSplit/>
        </w:trPr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操作</w:t>
            </w:r>
          </w:p>
        </w:tc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入口与结果</w:t>
            </w:r>
          </w:p>
        </w:tc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典型用途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拆分明细行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每行下方点击按钮，原行数量先对半分为两行，奇数时第一行多1个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同一货品需要分不同数量、交付方式或日期核对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按客户/交付拆单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页尾打开后台拆单预览，核对后明确确认生成多张订单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不同客户、原始来单组、交付方式或最晚要货时间需要独立订单号</w:t>
            </w:r>
          </w:p>
        </w:tc>
      </w:tr>
    </w:tbl>
    <w:p>
      <w:pPr>
        <w:spacing w:after="20"/>
      </w:pPr>
    </w:p>
    <w:p>
      <w:r>
        <w:t>例如5000个先拆成2500个和2500个，可按真实来单再调整为3000个和2000个，并分别填写交付安排。拆行后数量合计应由办公室复核；拆分动作本身保持原合计，后续人工改量可能改变合计。</w:t>
      </w:r>
    </w:p>
    <w:p>
      <w:r>
        <w:t>数量不足2个、非整数、已取消明细、留货转单绑定明细及小程序锁价明细，不提供自由拆行。留货绑定要求保留原数量和来源，避免一条留货被重复转单。</w:t>
      </w:r>
    </w:p>
    <w:p>
      <w:r>
        <w:t>拆行会使旧报价失效，并清除原行的授权本单改价输入。其他费、增减额等不能自动复制到两行；应按实际分配重新填写并重新报价，其他未拆行的改价输入保留。</w:t>
      </w:r>
    </w:p>
    <w:p>
      <w:r>
        <w:t>正式拆单按“客户、原始来单组、交付方式、最晚要货时间”组合分组。颜色、规格、是否印刷或当前库存不同，不直接构成独立订单条件。例如同一来单的1000个今天自提、2000个明天送货，可拆成两张；同一来单、同一客户和交付安排下的不同颜色，仍可是一张订单的多行。</w:t>
      </w:r>
    </w:p>
    <w:p>
      <w:r>
        <w:t>预览显示每张订单的客户、交付和日期、明细、数量及按正式报价核对的金额。只有一个组时会提示无需拆单。缺必要信息或仍有待核对字段时不能确认。未生成正式报价时，可查看分组，但需返回报价后再确认。</w:t>
      </w:r>
    </w:p>
    <w:p>
      <w:r>
        <w:t>点击“返回修改”或按Esc关闭预览，不创建正式订单；修改后需要重新报价及预览。点击“确认生成N张订单”后，后台统一写入多张订单并保留同一草稿来源，不允许只成功一半。网络回执不确定时保留原请求重试，不再次建立新单。</w:t>
      </w:r>
    </w:p>
    <w:p>
      <w:pPr>
        <w:pStyle w:val="Heading1"/>
        <w:pageBreakBefore/>
      </w:pPr>
      <w:r>
        <w:t>四 正式报价和价格保护</w:t>
      </w:r>
    </w:p>
    <w:p>
      <w:r>
        <w:t>核对明细后点击“生成正式报价”。右侧显示每行袋子单价、印刷单价、计费数量、其他费、增减额和本次合计。识别产生的预估金额不能代替正式报价。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4819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场景</w:t>
            </w:r>
          </w:p>
        </w:tc>
        <w:tc>
          <w:tcPr>
            <w:tcW w:type="dxa" w:w="4819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当前规则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普通办公室订单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使用服务器核验的现行发布价或符合条件的材料成本报价；缺价时保留草稿并提示，不自动以零元成交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授权本单议价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只有有权限的账号可启用，填写实际单价或费用及原因；只作用于本次业务，不改全局价格表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全部赠送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通过明确的赠送选项和书面依据处理，不能以缺价冒充赠送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小程序来单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保留提交时的锁价版本和价格快照，不套用后续新价覆盖历史成交价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同内容同尺寸印刷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在当前报价规则允许时合计数量计阶梯价；不同内容或尺寸分别核算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同批补单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关联同客户、同内容、同尺寸且尚未开印的原单，填写同批标识及补单依据，后台复核真实执行情况</w:t>
            </w:r>
          </w:p>
        </w:tc>
      </w:tr>
    </w:tbl>
    <w:p>
      <w:pPr>
        <w:spacing w:after="20"/>
      </w:pPr>
    </w:p>
    <w:p>
      <w:r>
        <w:t>补单可能修订关联原单价格。右侧会逐条展示旧金额和修订后金额，必须逐项勾选确认；普通下单和拆单确认都提交同一报价编号及已确认原单清单。历史价格快照保留。</w:t>
      </w:r>
    </w:p>
    <w:p>
      <w:r>
        <w:t>报价后再改数量、规格、颜色、交付日期、印刷信息或改价依据，须重新报价。报价、原单执行或材料价格已经变化时，后台可以拒绝旧报价，不能靠旧页面继续提交。</w:t>
      </w:r>
    </w:p>
    <w:p>
      <w:r>
        <w:t>拆单预览的分组不重新定义计价规则。应先核对整份草稿的有效正式报价，再查看各组分配到的行金额；不能把预估总价当成最终金额。</w:t>
      </w:r>
    </w:p>
    <w:p>
      <w:pPr>
        <w:pStyle w:val="Heading1"/>
        <w:pageBreakBefore/>
      </w:pPr>
      <w:r>
        <w:t>五 保存确认和异常处理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3288"/>
        <w:gridCol w:w="4309"/>
      </w:tblGrid>
      <w:tr>
        <w:trPr>
          <w:tblHeader/>
          <w:cantSplit/>
        </w:trPr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按钮或状态</w:t>
            </w:r>
          </w:p>
        </w:tc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应怎样操作</w:t>
            </w:r>
          </w:p>
        </w:tc>
        <w:tc>
          <w:tcPr>
            <w:tcW w:type="dxa" w:w="3213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结果及注意事项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保存草稿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核对到一半可以保存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保存服务器草稿和版本；不等于正式接单或已排产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生成正式报价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明细齐全后核价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保存正式报价；核对每行及关联原单影响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确认下单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不需要独立订单号时使用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当前草稿生成一张正式订单，可包含多行及各自交付任务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按客户/交付拆单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确需多张独立订单时使用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必须先核对分组，再明确确认；不是直接一键建多单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结果待核对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网络超时、服务器错误或回执不完整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内容和导航保持锁定，只能按原内容重试；不新建另一份草稿替代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后台明确拒绝</w:t>
            </w:r>
          </w:p>
        </w:tc>
        <w:tc>
          <w:tcPr>
            <w:tcW w:type="dxa" w:w="328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按提示核对权限、版本或内容</w:t>
            </w:r>
          </w:p>
        </w:tc>
        <w:tc>
          <w:tcPr>
            <w:tcW w:type="dxa" w:w="4309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输入保留；必要时重新读取、核价及预览</w:t>
            </w:r>
          </w:p>
        </w:tc>
      </w:tr>
    </w:tbl>
    <w:p>
      <w:pPr>
        <w:spacing w:after="20"/>
      </w:pPr>
    </w:p>
    <w:p>
      <w:r>
        <w:t>确认成功后，工作台显示成功回执，相关操作关闭，订单池等数据刷新。办公室随后逐单处理有货出库、缺货生产、定制排产等动作。确认下单不直接证明库房已拣货、司机已装车、客户已收货或财务已收款。</w:t>
      </w:r>
    </w:p>
    <w:p>
      <w:r>
        <w:t>遇到客户未匹配、识别待复核、缺价、留货失效或版本冲突，应保留原文和草稿，根据提示处理。不要改用虚构客户、零价、估算库存或重复下单绕过校验。普通客户欠款不一概禁止下单；客户风险及授权规则由后台判断。</w:t>
      </w:r>
    </w:p>
    <w:p>
      <w:r>
        <w:t>微信群内容仍由办公室主动录入。手机车间、司机和打包流程属于后续业务模块，本说明不把电脑录单页当成手机端下单入口。</w:t>
      </w:r>
    </w:p>
    <w:p>
      <w:pPr>
        <w:pStyle w:val="Heading1"/>
        <w:pageBreakBefore/>
      </w:pPr>
      <w:r>
        <w:t>六 功能边界和交接信息</w:t>
      </w:r>
    </w:p>
    <w:p>
      <w:r>
        <w:t>本说明对应拆单入口接入版。基线是已发布提交080863ebc62b1a32ff989d54eb1b427548511894；本次接入在独立分支codex/order-entry-split-20261025中验证，受控发布前不代表服务器已更新。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4819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能力</w:t>
            </w:r>
          </w:p>
        </w:tc>
        <w:tc>
          <w:tcPr>
            <w:tcW w:type="dxa" w:w="4819"/>
            <w:shd w:fill="F1F3F5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b/>
                <w:sz w:val="21"/>
              </w:rPr>
              <w:t>本次说明的范围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识别、草稿保存、正式报价及普通确认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当前完整电脑工作台已有；本次继续保留和回归验证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拆分明细行及正式拆单预览确认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本次接回当前电脑录单页；复用原服务端分组和事务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小程序锁价、授权议价、同批补单、原请求重试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保留现有规则；拆单接入同一报价及重试保护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客户手工选择、逐字段候选确认专用面板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当前新页未提供完整独立入口，不能把后端校验说成已有全套界面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合并明细、草稿作废和跨消息取消关联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旧工作台或后台存在相关能力，当前报价录单页尚未全部接入；本次不宣称补齐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订单图片自动识别和印刷图稿上传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当前页面不是完整入口；原料送货单拍照识别属于另一个模块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实物出库、打印和工资验收</w:t>
            </w:r>
          </w:p>
        </w:tc>
        <w:tc>
          <w:tcPr>
            <w:tcW w:type="dxa" w:w="7370"/>
          </w:tcPr>
          <w:p>
            <w:pPr>
              <w:spacing w:after="80" w:before="80" w:line="269" w:lineRule="auto"/>
            </w:pPr>
            <w:r>
              <w:rPr>
                <w:rFonts w:ascii="Heiti SC" w:hAnsi="Heiti SC" w:eastAsia="Heiti SC"/>
                <w:sz w:val="21"/>
              </w:rPr>
              <w:t>属于后续业务及现场验收，不由录单页的测试通过代替</w:t>
            </w:r>
          </w:p>
        </w:tc>
      </w:tr>
    </w:tbl>
    <w:p>
      <w:pPr>
        <w:spacing w:after="20"/>
      </w:pPr>
    </w:p>
    <w:p>
      <w:r>
        <w:t>开发交接关键位置：当前页面为OrderPricingEntryWorkspace.jsx；拆单预览为OrderEntrySplitDialog.jsx；桌面动作由useFormalDesktopWorkspace.js连接；客户端使用officeOrderApiClient.js；后台分组由orderDraftSplitDomain.mjs负责，确认由orderDraftCommandService.mjs进入订单事务。</w:t>
      </w:r>
    </w:p>
    <w:p>
      <w:r>
        <w:t>正式接口包括草稿识别、保存、正式报价、普通确认，以及同一草稿的split-preview和split-confirm。确认拆单须保留草稿版本、预览摘要、正式报价编号、关联原单确认信息和同一重试标识；权限、价格、库存、留货、审核和审计必须继续由服务器校验。</w:t>
      </w:r>
    </w:p>
    <w:p>
      <w:r>
        <w:t>维护本说明时应同步核对代码和实际页面。发布后用统一流程核对仓库、前端、API和发布锁，不能仅因文档写了功能就认定已部署或已完成现场验收。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/>
    </w:pPr>
    <w:rPr>
      <w:rFonts w:ascii="Heiti SC" w:hAnsi="Heiti SC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80" w:line="276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76" w:lineRule="auto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140"/>
      <w:contextualSpacing/>
    </w:pPr>
    <w:rPr>
      <w:rFonts w:ascii="Heiti SC" w:hAnsi="Heiti SC" w:eastAsia="Heiti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140"/>
      <w:contextualSpacing/>
    </w:pPr>
    <w:rPr>
      <w:rFonts w:ascii="Heiti SC" w:hAnsi="Heiti SC" w:eastAsia="Heiti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订单录入模块功能说明</dc:title>
  <dc:subject>Order entry functional guide</dc:subject>
  <dc:creator>BAGWIN ERP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