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240"/>
        <w:jc w:val="center"/>
      </w:pPr>
      <w:r>
        <w:rPr>
          <w:rFonts w:ascii="宋体" w:hAnsi="宋体" w:eastAsia="宋体"/>
          <w:b/>
          <w:color w:val="172033"/>
          <w:sz w:val="36"/>
          <w:lang w:val="zh-CN" w:eastAsia="zh-CN"/>
        </w:rPr>
        <w:t>股票收益数据的分类机器学习研究</w:t>
      </w:r>
    </w:p>
    <w:p>
      <w:pPr>
        <w:spacing w:before="0" w:after="0" w:line="360" w:lineRule="auto"/>
        <w:jc w:val="center"/>
      </w:pPr>
      <w:r>
        <w:rPr>
          <w:rFonts w:ascii="宋体" w:hAnsi="宋体" w:eastAsia="宋体"/>
          <w:b w:val="0"/>
          <w:color w:val="1F6FB2"/>
          <w:sz w:val="21"/>
          <w:lang w:val="zh-CN" w:eastAsia="zh-CN"/>
        </w:rPr>
        <w:t>——逻辑回归、决策树、随机森林与 KNN 的训练及评价</w:t>
      </w:r>
    </w:p>
    <w:p>
      <w:pPr>
        <w:spacing w:before="0" w:after="0" w:line="360" w:lineRule="auto"/>
        <w:jc w:val="both"/>
      </w:pPr>
      <w:r>
        <w:rPr>
          <w:rFonts w:ascii="宋体" w:hAnsi="宋体" w:eastAsia="宋体"/>
          <w:b w:val="0"/>
          <w:sz w:val="21"/>
          <w:lang w:val="zh-CN" w:eastAsia="zh-CN"/>
        </w:rPr>
        <w:t>姓名：程冰晖    作业：TASK5    数据区间：2018-01-02 至 2026-07-10</w:t>
      </w:r>
    </w:p>
    <w:p>
      <w:pPr>
        <w:spacing w:before="0" w:after="0" w:line="360" w:lineRule="auto"/>
        <w:jc w:val="both"/>
      </w:pPr>
      <w:r>
        <w:rPr>
          <w:rFonts w:ascii="宋体" w:hAnsi="宋体" w:eastAsia="宋体"/>
          <w:b w:val="0"/>
          <w:sz w:val="21"/>
          <w:lang w:val="zh-CN" w:eastAsia="zh-CN"/>
        </w:rPr>
        <w:t>摘要：本文使用三只已完成复权校验的股票日线数据构造下一交易日涨跌标签，以2018—2022年为训练集、2023—2024年为验证集、2025年至最近交易日为测试集，分别训练逻辑回归、决策树、随机森林和KNN分类模型，并通过混淆矩阵、ROC曲线与AUC评价样本外分类能力。结果表明，不同股票和模型的表现存在明显差异，AUC应结合混淆矩阵、精确率、召回率和F1综合解释。</w:t>
      </w:r>
    </w:p>
    <w:p>
      <w:pPr>
        <w:keepNext/>
        <w:spacing w:before="160" w:after="0" w:line="360" w:lineRule="auto"/>
      </w:pPr>
      <w:r>
        <w:rPr>
          <w:rFonts w:ascii="宋体" w:hAnsi="宋体" w:eastAsia="宋体"/>
          <w:b/>
          <w:color w:val="1F6FB2"/>
          <w:sz w:val="28"/>
          <w:lang w:val="zh-CN" w:eastAsia="zh-CN"/>
        </w:rPr>
        <w:t>一、分类型机器学习算法</w:t>
      </w:r>
    </w:p>
    <w:p>
      <w:pPr>
        <w:keepNext/>
        <w:spacing w:before="80" w:after="0" w:line="360" w:lineRule="auto"/>
      </w:pPr>
      <w:r>
        <w:rPr>
          <w:rFonts w:ascii="宋体" w:hAnsi="宋体" w:eastAsia="宋体"/>
          <w:b/>
          <w:color w:val="1F6FB2"/>
          <w:sz w:val="24"/>
          <w:lang w:val="zh-CN" w:eastAsia="zh-CN"/>
        </w:rPr>
        <w:t>（一）逻辑回归</w:t>
      </w:r>
    </w:p>
    <w:p>
      <w:pPr>
        <w:spacing w:before="0" w:after="0" w:line="360" w:lineRule="auto"/>
        <w:jc w:val="both"/>
      </w:pPr>
      <w:r>
        <w:rPr>
          <w:rFonts w:ascii="宋体" w:hAnsi="宋体" w:eastAsia="宋体"/>
          <w:b w:val="0"/>
          <w:sz w:val="21"/>
          <w:lang w:val="zh-CN" w:eastAsia="zh-CN"/>
        </w:rPr>
        <w:t>逻辑回归通过线性组合计算样本属于上涨类别的概率，再使用Sigmoid函数将结果映射到0—1。模型系数可解释特征对上涨概率的方向与相对影响，优点是结构简单、训练稳定、便于作为基线；局限是决策边界主要为线性，难以自动捕捉复杂非线性关系。</w:t>
      </w:r>
    </w:p>
    <w:p>
      <w:pPr>
        <w:keepNext/>
        <w:spacing w:before="80" w:after="0" w:line="360" w:lineRule="auto"/>
      </w:pPr>
      <w:r>
        <w:rPr>
          <w:rFonts w:ascii="宋体" w:hAnsi="宋体" w:eastAsia="宋体"/>
          <w:b/>
          <w:color w:val="1F6FB2"/>
          <w:sz w:val="24"/>
          <w:lang w:val="zh-CN" w:eastAsia="zh-CN"/>
        </w:rPr>
        <w:t>（二）决策树</w:t>
      </w:r>
    </w:p>
    <w:p>
      <w:pPr>
        <w:spacing w:before="0" w:after="0" w:line="360" w:lineRule="auto"/>
        <w:jc w:val="both"/>
      </w:pPr>
      <w:r>
        <w:rPr>
          <w:rFonts w:ascii="宋体" w:hAnsi="宋体" w:eastAsia="宋体"/>
          <w:b w:val="0"/>
          <w:sz w:val="21"/>
          <w:lang w:val="zh-CN" w:eastAsia="zh-CN"/>
        </w:rPr>
        <w:t>决策树按照特征阈值反复划分样本，使子节点中的类别更纯。它能够表达非线性关系和特征交互，且规则直观；但深度过大时容易记住训练噪声，因此本实验将max_depth作为可配置参数并用验证集控制复杂度。</w:t>
      </w:r>
    </w:p>
    <w:p>
      <w:pPr>
        <w:keepNext/>
        <w:spacing w:before="80" w:after="0" w:line="360" w:lineRule="auto"/>
      </w:pPr>
      <w:r>
        <w:rPr>
          <w:rFonts w:ascii="宋体" w:hAnsi="宋体" w:eastAsia="宋体"/>
          <w:b/>
          <w:color w:val="1F6FB2"/>
          <w:sz w:val="24"/>
          <w:lang w:val="zh-CN" w:eastAsia="zh-CN"/>
        </w:rPr>
        <w:t>（三）随机森林</w:t>
      </w:r>
    </w:p>
    <w:p>
      <w:pPr>
        <w:spacing w:before="0" w:after="0" w:line="360" w:lineRule="auto"/>
        <w:jc w:val="both"/>
      </w:pPr>
      <w:r>
        <w:rPr>
          <w:rFonts w:ascii="宋体" w:hAnsi="宋体" w:eastAsia="宋体"/>
          <w:b w:val="0"/>
          <w:sz w:val="21"/>
          <w:lang w:val="zh-CN" w:eastAsia="zh-CN"/>
        </w:rPr>
        <w:t>随机森林在不同自助样本和随机特征子集上训练多棵决策树，再通过投票得到最终类别及概率。集成平均通常比单棵树更稳定，能够降低方差。本实验默认n_estimators=100、max_depth=10；树数、深度和类别权重均可调整。</w:t>
      </w:r>
    </w:p>
    <w:p>
      <w:pPr>
        <w:keepNext/>
        <w:spacing w:before="80" w:after="0" w:line="360" w:lineRule="auto"/>
      </w:pPr>
      <w:r>
        <w:rPr>
          <w:rFonts w:ascii="宋体" w:hAnsi="宋体" w:eastAsia="宋体"/>
          <w:b/>
          <w:color w:val="1F6FB2"/>
          <w:sz w:val="24"/>
          <w:lang w:val="zh-CN" w:eastAsia="zh-CN"/>
        </w:rPr>
        <w:t>（四）KNN</w:t>
      </w:r>
    </w:p>
    <w:p>
      <w:pPr>
        <w:spacing w:before="0" w:after="0" w:line="360" w:lineRule="auto"/>
        <w:jc w:val="both"/>
      </w:pPr>
      <w:r>
        <w:rPr>
          <w:rFonts w:ascii="宋体" w:hAnsi="宋体" w:eastAsia="宋体"/>
          <w:b w:val="0"/>
          <w:sz w:val="21"/>
          <w:lang w:val="zh-CN" w:eastAsia="zh-CN"/>
        </w:rPr>
        <w:t>K近邻根据标准化特征空间中距离最近的K个训练样本投票。它无需显式假设函数形式，但对特征尺度、K值和高维噪声较敏感，因此实验使用StandardScaler，并将n_neighbors设为可配置参数。</w:t>
      </w:r>
    </w:p>
    <w:tbl>
      <w:tblPr>
        <w:tblStyle w:val="33"/>
        <w:tblW w:type="auto" w:w="0"/>
        <w:tblLayout w:type="fixed"/>
        <w:tblLook w:firstColumn="1" w:firstRow="1" w:lastColumn="0" w:lastRow="0" w:noHBand="0" w:noVBand="1" w:val="04A0"/>
      </w:tblPr>
      <w:tblGrid>
        <w:gridCol w:w="2256"/>
        <w:gridCol w:w="2256"/>
        <w:gridCol w:w="2256"/>
        <w:gridCol w:w="2256"/>
      </w:tblGrid>
      <w:tr>
        <w:tc>
          <w:tcPr>
            <w:tcW w:type="dxa" w:w="1701"/>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算法家族</w:t>
            </w:r>
          </w:p>
        </w:tc>
        <w:tc>
          <w:tcPr>
            <w:tcW w:type="dxa" w:w="2268"/>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分类实现</w:t>
            </w:r>
          </w:p>
        </w:tc>
        <w:tc>
          <w:tcPr>
            <w:tcW w:type="dxa" w:w="2268"/>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主要参数</w:t>
            </w:r>
          </w:p>
        </w:tc>
        <w:tc>
          <w:tcPr>
            <w:tcW w:type="dxa" w:w="2835"/>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主要特点</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逻辑回归</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LogisticRegression</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max_iter、C</w:t>
            </w:r>
          </w:p>
        </w:tc>
        <w:tc>
          <w:tcPr>
            <w:tcW w:type="dxa" w:w="2835"/>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可解释线性基线</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决策树</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DecisionTreeClassifier</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max_depth</w:t>
            </w:r>
          </w:p>
        </w:tc>
        <w:tc>
          <w:tcPr>
            <w:tcW w:type="dxa" w:w="2835"/>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非线性、规则直观</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随机森林</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RandomForestClassifier</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n_estimators、max_depth</w:t>
            </w:r>
          </w:p>
        </w:tc>
        <w:tc>
          <w:tcPr>
            <w:tcW w:type="dxa" w:w="2835"/>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集成稳定、可给重要性</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KNN</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KNeighborsClassifier</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n_neighbors、weights</w:t>
            </w:r>
          </w:p>
        </w:tc>
        <w:tc>
          <w:tcPr>
            <w:tcW w:type="dxa" w:w="2835"/>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基于距离、需标准化</w:t>
            </w:r>
          </w:p>
        </w:tc>
      </w:tr>
    </w:tbl>
    <w:p>
      <w:pPr>
        <w:keepNext/>
        <w:spacing w:before="160" w:after="0" w:line="360" w:lineRule="auto"/>
      </w:pPr>
      <w:r>
        <w:rPr>
          <w:rFonts w:ascii="宋体" w:hAnsi="宋体" w:eastAsia="宋体"/>
          <w:b/>
          <w:color w:val="1F6FB2"/>
          <w:sz w:val="28"/>
          <w:lang w:val="zh-CN" w:eastAsia="zh-CN"/>
        </w:rPr>
        <w:t>二、模型评价指标</w:t>
      </w:r>
    </w:p>
    <w:p>
      <w:pPr>
        <w:keepNext/>
        <w:spacing w:before="80" w:after="0" w:line="360" w:lineRule="auto"/>
      </w:pPr>
      <w:r>
        <w:rPr>
          <w:rFonts w:ascii="宋体" w:hAnsi="宋体" w:eastAsia="宋体"/>
          <w:b/>
          <w:color w:val="1F6FB2"/>
          <w:sz w:val="24"/>
          <w:lang w:val="zh-CN" w:eastAsia="zh-CN"/>
        </w:rPr>
        <w:t>（一）混淆矩阵</w:t>
      </w:r>
    </w:p>
    <w:p>
      <w:pPr>
        <w:spacing w:before="0" w:after="0" w:line="360" w:lineRule="auto"/>
        <w:jc w:val="both"/>
      </w:pPr>
      <w:r>
        <w:rPr>
          <w:rFonts w:ascii="宋体" w:hAnsi="宋体" w:eastAsia="宋体"/>
          <w:b w:val="0"/>
          <w:sz w:val="21"/>
          <w:lang w:val="zh-CN" w:eastAsia="zh-CN"/>
        </w:rPr>
        <w:t>混淆矩阵由真正例TP、假正例FP、真负例TN和假负例FN组成。股票方向预测中，TP表示真实上涨且预测上涨，FP表示真实下跌但预测上涨。由此可计算准确率、精确率、召回率和F1。</w:t>
      </w:r>
    </w:p>
    <w:p>
      <w:pPr>
        <w:keepNext/>
        <w:spacing w:before="80" w:after="0" w:line="360" w:lineRule="auto"/>
      </w:pPr>
      <w:r>
        <w:rPr>
          <w:rFonts w:ascii="宋体" w:hAnsi="宋体" w:eastAsia="宋体"/>
          <w:b/>
          <w:color w:val="1F6FB2"/>
          <w:sz w:val="24"/>
          <w:lang w:val="zh-CN" w:eastAsia="zh-CN"/>
        </w:rPr>
        <w:t>（二）ROC曲线</w:t>
      </w:r>
    </w:p>
    <w:p>
      <w:pPr>
        <w:spacing w:before="0" w:after="0" w:line="360" w:lineRule="auto"/>
        <w:jc w:val="both"/>
      </w:pPr>
      <w:r>
        <w:rPr>
          <w:rFonts w:ascii="宋体" w:hAnsi="宋体" w:eastAsia="宋体"/>
          <w:b w:val="0"/>
          <w:sz w:val="21"/>
          <w:lang w:val="zh-CN" w:eastAsia="zh-CN"/>
        </w:rPr>
        <w:t>ROC曲线在所有分类阈值下绘制真正率TPR与假正率FPR的关系。曲线越靠近左上角，模型在不同阈值下区分上涨与下跌的能力通常越强；对角线对应接近随机排序。</w:t>
      </w:r>
    </w:p>
    <w:p>
      <w:pPr>
        <w:keepNext/>
        <w:spacing w:before="80" w:after="0" w:line="360" w:lineRule="auto"/>
      </w:pPr>
      <w:r>
        <w:rPr>
          <w:rFonts w:ascii="宋体" w:hAnsi="宋体" w:eastAsia="宋体"/>
          <w:b/>
          <w:color w:val="1F6FB2"/>
          <w:sz w:val="24"/>
          <w:lang w:val="zh-CN" w:eastAsia="zh-CN"/>
        </w:rPr>
        <w:t>（三）AUC</w:t>
      </w:r>
    </w:p>
    <w:p>
      <w:pPr>
        <w:spacing w:before="0" w:after="0" w:line="360" w:lineRule="auto"/>
        <w:jc w:val="both"/>
      </w:pPr>
      <w:r>
        <w:rPr>
          <w:rFonts w:ascii="宋体" w:hAnsi="宋体" w:eastAsia="宋体"/>
          <w:b w:val="0"/>
          <w:sz w:val="21"/>
          <w:lang w:val="zh-CN" w:eastAsia="zh-CN"/>
        </w:rPr>
        <w:t>AUC是ROC曲线下面积，可理解为随机抽取一个正类和一个负类时，模型将正类概率排得更高的可能性。AUC=0.5通常表示接近随机，越接近1区分能力越强。AUC不等同于交易收益，也不能替代对类别分布和交易成本的分析。</w:t>
      </w:r>
    </w:p>
    <w:p>
      <w:pPr>
        <w:keepNext/>
        <w:spacing w:before="160" w:after="0" w:line="360" w:lineRule="auto"/>
      </w:pPr>
      <w:r>
        <w:rPr>
          <w:rFonts w:ascii="宋体" w:hAnsi="宋体" w:eastAsia="宋体"/>
          <w:b/>
          <w:color w:val="1F6FB2"/>
          <w:sz w:val="28"/>
          <w:lang w:val="zh-CN" w:eastAsia="zh-CN"/>
        </w:rPr>
        <w:t>三、Python实现方案</w:t>
      </w:r>
    </w:p>
    <w:p>
      <w:pPr>
        <w:spacing w:before="0" w:after="0" w:line="360" w:lineRule="auto"/>
        <w:jc w:val="both"/>
      </w:pPr>
      <w:r>
        <w:rPr>
          <w:rFonts w:ascii="宋体" w:hAnsi="宋体" w:eastAsia="宋体"/>
          <w:b w:val="0"/>
          <w:sz w:val="21"/>
          <w:lang w:val="zh-CN" w:eastAsia="zh-CN"/>
        </w:rPr>
        <w:t>1. 加载数据：读取复权日线，按股票代码和交易日期排序，检查OHLC关系、重复记录与缺失值。</w:t>
      </w:r>
    </w:p>
    <w:p>
      <w:pPr>
        <w:spacing w:before="0" w:after="0" w:line="360" w:lineRule="auto"/>
        <w:jc w:val="both"/>
      </w:pPr>
      <w:r>
        <w:rPr>
          <w:rFonts w:ascii="宋体" w:hAnsi="宋体" w:eastAsia="宋体"/>
          <w:b w:val="0"/>
          <w:sz w:val="21"/>
          <w:lang w:val="zh-CN" w:eastAsia="zh-CN"/>
        </w:rPr>
        <w:t>2. 构造标签：以未来一个交易日复权收盘收益率是否大于0构造target_up。</w:t>
      </w:r>
    </w:p>
    <w:p>
      <w:pPr>
        <w:spacing w:before="0" w:after="0" w:line="360" w:lineRule="auto"/>
        <w:jc w:val="both"/>
      </w:pPr>
      <w:r>
        <w:rPr>
          <w:rFonts w:ascii="宋体" w:hAnsi="宋体" w:eastAsia="宋体"/>
          <w:b w:val="0"/>
          <w:sz w:val="21"/>
          <w:lang w:val="zh-CN" w:eastAsia="zh-CN"/>
        </w:rPr>
        <w:t>3. 构造特征：使用1/5/10/20日收益、均线偏离、波动率、ATR、RSI、MACD、振幅和成交量相对均量等22个特征。</w:t>
      </w:r>
    </w:p>
    <w:p>
      <w:pPr>
        <w:spacing w:before="0" w:after="0" w:line="360" w:lineRule="auto"/>
        <w:jc w:val="both"/>
      </w:pPr>
      <w:r>
        <w:rPr>
          <w:rFonts w:ascii="宋体" w:hAnsi="宋体" w:eastAsia="宋体"/>
          <w:b w:val="0"/>
          <w:sz w:val="21"/>
          <w:lang w:val="zh-CN" w:eastAsia="zh-CN"/>
        </w:rPr>
        <w:t>4. 数据划分：2018—2022年训练、2023—2024年验证、2025年至今测试；预处理只在训练数据拟合，不随机打乱。</w:t>
      </w:r>
    </w:p>
    <w:p>
      <w:pPr>
        <w:spacing w:before="0" w:after="0" w:line="360" w:lineRule="auto"/>
        <w:jc w:val="both"/>
      </w:pPr>
      <w:r>
        <w:rPr>
          <w:rFonts w:ascii="宋体" w:hAnsi="宋体" w:eastAsia="宋体"/>
          <w:b w:val="0"/>
          <w:sz w:val="21"/>
          <w:lang w:val="zh-CN" w:eastAsia="zh-CN"/>
        </w:rPr>
        <w:t>5. 模型训练与测试：在训练/验证阶段确定方案后，用训练集与验证集合并重训，最后一次性评估测试集。</w:t>
      </w:r>
    </w:p>
    <w:p>
      <w:pPr>
        <w:keepNext/>
        <w:jc w:val="center"/>
      </w:pPr>
      <w:r>
        <w:drawing>
          <wp:inline xmlns:a="http://schemas.openxmlformats.org/drawingml/2006/main" xmlns:pic="http://schemas.openxmlformats.org/drawingml/2006/picture">
            <wp:extent cx="5688000" cy="2374122"/>
            <wp:docPr id="1" name="Picture 1"/>
            <wp:cNvGraphicFramePr>
              <a:graphicFrameLocks noChangeAspect="1"/>
            </wp:cNvGraphicFramePr>
            <a:graphic>
              <a:graphicData uri="http://schemas.openxmlformats.org/drawingml/2006/picture">
                <pic:pic>
                  <pic:nvPicPr>
                    <pic:cNvPr id="0" name="fig1_time_split.png"/>
                    <pic:cNvPicPr/>
                  </pic:nvPicPr>
                  <pic:blipFill>
                    <a:blip r:embed="rId15"/>
                    <a:stretch>
                      <a:fillRect/>
                    </a:stretch>
                  </pic:blipFill>
                  <pic:spPr>
                    <a:xfrm>
                      <a:off x="0" y="0"/>
                      <a:ext cx="5688000" cy="2374122"/>
                    </a:xfrm>
                    <a:prstGeom prst="rect"/>
                  </pic:spPr>
                </pic:pic>
              </a:graphicData>
            </a:graphic>
          </wp:inline>
        </w:drawing>
      </w:r>
    </w:p>
    <w:p>
      <w:pPr>
        <w:spacing w:before="0" w:after="0" w:line="360" w:lineRule="auto"/>
        <w:jc w:val="center"/>
      </w:pPr>
      <w:r>
        <w:rPr>
          <w:rFonts w:ascii="宋体" w:hAnsi="宋体" w:eastAsia="宋体"/>
          <w:b w:val="0"/>
          <w:sz w:val="21"/>
          <w:lang w:val="zh-CN" w:eastAsia="zh-CN"/>
        </w:rPr>
        <w:t>图1 三只股票训练集、验证集与测试集时间划分</w:t>
      </w:r>
    </w:p>
    <w:p>
      <w:pPr>
        <w:spacing w:before="0" w:after="0" w:line="360" w:lineRule="auto"/>
        <w:jc w:val="both"/>
      </w:pPr>
      <w:r>
        <w:rPr>
          <w:rFonts w:ascii="宋体" w:hAnsi="宋体" w:eastAsia="宋体"/>
          <w:b w:val="0"/>
          <w:sz w:val="21"/>
          <w:lang w:val="zh-CN" w:eastAsia="zh-CN"/>
        </w:rPr>
        <w:t>图表解读：所有划分都沿时间顺序进行。中芯国际A股因2020年上市，训练样本从实际可用日期开始；测试集始终保持隔离。</w:t>
      </w:r>
    </w:p>
    <w:p>
      <w:pPr>
        <w:keepNext/>
        <w:spacing w:before="160" w:after="0" w:line="360" w:lineRule="auto"/>
      </w:pPr>
      <w:r>
        <w:rPr>
          <w:rFonts w:ascii="宋体" w:hAnsi="宋体" w:eastAsia="宋体"/>
          <w:b/>
          <w:color w:val="1F6FB2"/>
          <w:sz w:val="28"/>
          <w:lang w:val="zh-CN" w:eastAsia="zh-CN"/>
        </w:rPr>
        <w:t>四、实验结果与分析</w:t>
      </w:r>
    </w:p>
    <w:tbl>
      <w:tblPr>
        <w:tblStyle w:val="33"/>
        <w:tblW w:type="auto" w:w="0"/>
        <w:tblLayout w:type="fixed"/>
        <w:tblLook w:firstColumn="1" w:firstRow="1" w:lastColumn="0" w:lastRow="0" w:noHBand="0" w:noVBand="1" w:val="04A0"/>
      </w:tblPr>
      <w:tblGrid>
        <w:gridCol w:w="2256"/>
        <w:gridCol w:w="2256"/>
        <w:gridCol w:w="2256"/>
        <w:gridCol w:w="2256"/>
      </w:tblGrid>
      <w:tr>
        <w:tc>
          <w:tcPr>
            <w:tcW w:type="dxa" w:w="2268"/>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股票</w:t>
            </w:r>
          </w:p>
        </w:tc>
        <w:tc>
          <w:tcPr>
            <w:tcW w:type="dxa" w:w="2268"/>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模型</w:t>
            </w:r>
          </w:p>
        </w:tc>
        <w:tc>
          <w:tcPr>
            <w:tcW w:type="dxa" w:w="1701"/>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测试集AUC</w:t>
            </w:r>
          </w:p>
        </w:tc>
        <w:tc>
          <w:tcPr>
            <w:tcW w:type="dxa" w:w="1701"/>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测试样本数</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逻辑回归</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0.553</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决策树</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0.509</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随机森林</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0.504</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KNN</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0.474</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比亚迪H股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逻辑回归</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0.418</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比亚迪H股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决策树</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0.479</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比亚迪H股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随机森林</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0.502</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比亚迪H股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KNN</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0.519</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366</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中芯国际A股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逻辑回归</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0.557</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360</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中芯国际A股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决策树</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0.519</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360</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中芯国际A股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随机森林</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0.559</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360</w:t>
            </w:r>
          </w:p>
        </w:tc>
      </w:tr>
      <w:tr>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中芯国际A股</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KNN</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0.499</w:t>
            </w:r>
          </w:p>
        </w:tc>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360</w:t>
            </w:r>
          </w:p>
        </w:tc>
      </w:tr>
    </w:tbl>
    <w:p>
      <w:pPr>
        <w:keepNext/>
        <w:jc w:val="center"/>
      </w:pPr>
      <w:r>
        <w:drawing>
          <wp:inline xmlns:a="http://schemas.openxmlformats.org/drawingml/2006/main" xmlns:pic="http://schemas.openxmlformats.org/drawingml/2006/picture">
            <wp:extent cx="5688000" cy="2767061"/>
            <wp:docPr id="2" name="Picture 2"/>
            <wp:cNvGraphicFramePr>
              <a:graphicFrameLocks noChangeAspect="1"/>
            </wp:cNvGraphicFramePr>
            <a:graphic>
              <a:graphicData uri="http://schemas.openxmlformats.org/drawingml/2006/picture">
                <pic:pic>
                  <pic:nvPicPr>
                    <pic:cNvPr id="0" name="fig2_auc_comparison.png"/>
                    <pic:cNvPicPr/>
                  </pic:nvPicPr>
                  <pic:blipFill>
                    <a:blip r:embed="rId16"/>
                    <a:stretch>
                      <a:fillRect/>
                    </a:stretch>
                  </pic:blipFill>
                  <pic:spPr>
                    <a:xfrm>
                      <a:off x="0" y="0"/>
                      <a:ext cx="5688000" cy="2767061"/>
                    </a:xfrm>
                    <a:prstGeom prst="rect"/>
                  </pic:spPr>
                </pic:pic>
              </a:graphicData>
            </a:graphic>
          </wp:inline>
        </w:drawing>
      </w:r>
    </w:p>
    <w:p>
      <w:pPr>
        <w:spacing w:before="0" w:after="0" w:line="360" w:lineRule="auto"/>
        <w:jc w:val="center"/>
      </w:pPr>
      <w:r>
        <w:rPr>
          <w:rFonts w:ascii="宋体" w:hAnsi="宋体" w:eastAsia="宋体"/>
          <w:b w:val="0"/>
          <w:sz w:val="21"/>
          <w:lang w:val="zh-CN" w:eastAsia="zh-CN"/>
        </w:rPr>
        <w:t>图2 测试集分类模型AUC对比</w:t>
      </w:r>
    </w:p>
    <w:p>
      <w:pPr>
        <w:spacing w:before="0" w:after="0" w:line="360" w:lineRule="auto"/>
        <w:jc w:val="both"/>
      </w:pPr>
      <w:r>
        <w:rPr>
          <w:rFonts w:ascii="宋体" w:hAnsi="宋体" w:eastAsia="宋体"/>
          <w:b w:val="0"/>
          <w:sz w:val="21"/>
          <w:lang w:val="zh-CN" w:eastAsia="zh-CN"/>
        </w:rPr>
        <w:t>图表解读：AUC结果显示模型效果随股票而变化，整体优势有限，说明短周期涨跌具有较强噪声。应避免只选择单一股票或单一指标得出过度结论。</w:t>
      </w:r>
    </w:p>
    <w:p>
      <w:pPr>
        <w:keepNext/>
        <w:jc w:val="center"/>
      </w:pPr>
      <w:r>
        <w:drawing>
          <wp:inline xmlns:a="http://schemas.openxmlformats.org/drawingml/2006/main" xmlns:pic="http://schemas.openxmlformats.org/drawingml/2006/picture">
            <wp:extent cx="5688000" cy="4349647"/>
            <wp:docPr id="3" name="Picture 3"/>
            <wp:cNvGraphicFramePr>
              <a:graphicFrameLocks noChangeAspect="1"/>
            </wp:cNvGraphicFramePr>
            <a:graphic>
              <a:graphicData uri="http://schemas.openxmlformats.org/drawingml/2006/picture">
                <pic:pic>
                  <pic:nvPicPr>
                    <pic:cNvPr id="0" name="fig3_roc_random_forest.png"/>
                    <pic:cNvPicPr/>
                  </pic:nvPicPr>
                  <pic:blipFill>
                    <a:blip r:embed="rId17"/>
                    <a:stretch>
                      <a:fillRect/>
                    </a:stretch>
                  </pic:blipFill>
                  <pic:spPr>
                    <a:xfrm>
                      <a:off x="0" y="0"/>
                      <a:ext cx="5688000" cy="4349647"/>
                    </a:xfrm>
                    <a:prstGeom prst="rect"/>
                  </pic:spPr>
                </pic:pic>
              </a:graphicData>
            </a:graphic>
          </wp:inline>
        </w:drawing>
      </w:r>
    </w:p>
    <w:p>
      <w:pPr>
        <w:spacing w:before="0" w:after="0" w:line="360" w:lineRule="auto"/>
        <w:jc w:val="center"/>
      </w:pPr>
      <w:r>
        <w:rPr>
          <w:rFonts w:ascii="宋体" w:hAnsi="宋体" w:eastAsia="宋体"/>
          <w:b w:val="0"/>
          <w:sz w:val="21"/>
          <w:lang w:val="zh-CN" w:eastAsia="zh-CN"/>
        </w:rPr>
        <w:t>图3 随机森林测试集ROC曲线</w:t>
      </w:r>
    </w:p>
    <w:p>
      <w:pPr>
        <w:spacing w:before="0" w:after="0" w:line="360" w:lineRule="auto"/>
        <w:jc w:val="both"/>
      </w:pPr>
      <w:r>
        <w:rPr>
          <w:rFonts w:ascii="宋体" w:hAnsi="宋体" w:eastAsia="宋体"/>
          <w:b w:val="0"/>
          <w:sz w:val="21"/>
          <w:lang w:val="zh-CN" w:eastAsia="zh-CN"/>
        </w:rPr>
        <w:t>图表解读：三条ROC曲线以0.5对角线为参照。曲线形状展示了阈值从高到低变化时召回更多上涨日与增加误报之间的权衡。</w:t>
      </w:r>
    </w:p>
    <w:p>
      <w:pPr>
        <w:keepNext/>
        <w:jc w:val="center"/>
      </w:pPr>
      <w:r>
        <w:drawing>
          <wp:inline xmlns:a="http://schemas.openxmlformats.org/drawingml/2006/main" xmlns:pic="http://schemas.openxmlformats.org/drawingml/2006/picture">
            <wp:extent cx="5688000" cy="1830052"/>
            <wp:docPr id="4" name="Picture 4"/>
            <wp:cNvGraphicFramePr>
              <a:graphicFrameLocks noChangeAspect="1"/>
            </wp:cNvGraphicFramePr>
            <a:graphic>
              <a:graphicData uri="http://schemas.openxmlformats.org/drawingml/2006/picture">
                <pic:pic>
                  <pic:nvPicPr>
                    <pic:cNvPr id="0" name="fig4_confusion_matrices.png"/>
                    <pic:cNvPicPr/>
                  </pic:nvPicPr>
                  <pic:blipFill>
                    <a:blip r:embed="rId18"/>
                    <a:stretch>
                      <a:fillRect/>
                    </a:stretch>
                  </pic:blipFill>
                  <pic:spPr>
                    <a:xfrm>
                      <a:off x="0" y="0"/>
                      <a:ext cx="5688000" cy="1830052"/>
                    </a:xfrm>
                    <a:prstGeom prst="rect"/>
                  </pic:spPr>
                </pic:pic>
              </a:graphicData>
            </a:graphic>
          </wp:inline>
        </w:drawing>
      </w:r>
    </w:p>
    <w:p>
      <w:pPr>
        <w:spacing w:before="0" w:after="0" w:line="360" w:lineRule="auto"/>
        <w:jc w:val="center"/>
      </w:pPr>
      <w:r>
        <w:rPr>
          <w:rFonts w:ascii="宋体" w:hAnsi="宋体" w:eastAsia="宋体"/>
          <w:b w:val="0"/>
          <w:sz w:val="21"/>
          <w:lang w:val="zh-CN" w:eastAsia="zh-CN"/>
        </w:rPr>
        <w:t>图4 随机森林测试集混淆矩阵</w:t>
      </w:r>
    </w:p>
    <w:p>
      <w:pPr>
        <w:spacing w:before="0" w:after="0" w:line="360" w:lineRule="auto"/>
        <w:jc w:val="both"/>
      </w:pPr>
      <w:r>
        <w:rPr>
          <w:rFonts w:ascii="宋体" w:hAnsi="宋体" w:eastAsia="宋体"/>
          <w:b w:val="0"/>
          <w:sz w:val="21"/>
          <w:lang w:val="zh-CN" w:eastAsia="zh-CN"/>
        </w:rPr>
        <w:t>图表解读：混淆矩阵揭示模型是否偏向预测某一类别。即便AUC相近，固定0.5阈值下的TP、FP、TN和FN结构也可能明显不同。</w:t>
      </w:r>
    </w:p>
    <w:p>
      <w:pPr>
        <w:keepNext/>
        <w:spacing w:before="160" w:after="0" w:line="360" w:lineRule="auto"/>
      </w:pPr>
      <w:r>
        <w:rPr>
          <w:rFonts w:ascii="宋体" w:hAnsi="宋体" w:eastAsia="宋体"/>
          <w:b/>
          <w:color w:val="1F6FB2"/>
          <w:sz w:val="28"/>
          <w:lang w:val="zh-CN" w:eastAsia="zh-CN"/>
        </w:rPr>
        <w:t>五、结论与局限</w:t>
      </w:r>
    </w:p>
    <w:p>
      <w:pPr>
        <w:spacing w:before="0" w:after="0" w:line="360" w:lineRule="auto"/>
        <w:jc w:val="both"/>
      </w:pPr>
      <w:r>
        <w:rPr>
          <w:rFonts w:ascii="宋体" w:hAnsi="宋体" w:eastAsia="宋体"/>
          <w:b w:val="0"/>
          <w:sz w:val="21"/>
          <w:lang w:val="zh-CN" w:eastAsia="zh-CN"/>
        </w:rPr>
        <w:t>本文完成了股票收益方向分类的完整流程，包括数据加载、标签与特征构造、时间序列划分、四种分类模型训练，以及混淆矩阵、ROC和AUC评价。逻辑回归提供可解释基线，决策树表达非线性规则，随机森林通过集成降低方差，KNN则提供基于邻近样本的比较。</w:t>
      </w:r>
    </w:p>
    <w:p>
      <w:pPr>
        <w:spacing w:before="0" w:after="0" w:line="360" w:lineRule="auto"/>
        <w:jc w:val="both"/>
      </w:pPr>
      <w:r>
        <w:rPr>
          <w:rFonts w:ascii="宋体" w:hAnsi="宋体" w:eastAsia="宋体"/>
          <w:b w:val="0"/>
          <w:sz w:val="21"/>
          <w:lang w:val="zh-CN" w:eastAsia="zh-CN"/>
        </w:rPr>
        <w:t>需要强调的是，分类指标不等同于可交易收益。本实验尚未把手续费、滑点和持仓规则纳入标签与模型评价；日线样本还存在制度变化、公司行动和市场状态漂移。后续可加入滚动训练、概率阈值优化、类别权重、交易成本标签及更多股票，检验模型稳定性。</w:t>
      </w:r>
    </w:p>
    <w:p>
      <w:pPr>
        <w:keepNext/>
        <w:spacing w:before="160" w:after="0" w:line="360" w:lineRule="auto"/>
      </w:pPr>
      <w:r>
        <w:rPr>
          <w:rFonts w:ascii="宋体" w:hAnsi="宋体" w:eastAsia="宋体"/>
          <w:b/>
          <w:color w:val="1F6FB2"/>
          <w:sz w:val="28"/>
          <w:lang w:val="zh-CN" w:eastAsia="zh-CN"/>
        </w:rPr>
        <w:t>附录：关键参数</w:t>
      </w:r>
    </w:p>
    <w:tbl>
      <w:tblPr>
        <w:tblStyle w:val="33"/>
        <w:tblW w:type="auto" w:w="0"/>
        <w:tblLayout w:type="fixed"/>
        <w:tblLook w:firstColumn="1" w:firstRow="1" w:lastColumn="0" w:lastRow="0" w:noHBand="0" w:noVBand="1" w:val="04A0"/>
      </w:tblPr>
      <w:tblGrid>
        <w:gridCol w:w="2256"/>
        <w:gridCol w:w="2256"/>
        <w:gridCol w:w="2256"/>
        <w:gridCol w:w="2256"/>
      </w:tblGrid>
      <w:tr>
        <w:tc>
          <w:tcPr>
            <w:tcW w:type="dxa" w:w="1701"/>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类别</w:t>
            </w:r>
          </w:p>
        </w:tc>
        <w:tc>
          <w:tcPr>
            <w:tcW w:type="dxa" w:w="2268"/>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参数</w:t>
            </w:r>
          </w:p>
        </w:tc>
        <w:tc>
          <w:tcPr>
            <w:tcW w:type="dxa" w:w="2268"/>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默认值</w:t>
            </w:r>
          </w:p>
        </w:tc>
        <w:tc>
          <w:tcPr>
            <w:tcW w:type="dxa" w:w="3402"/>
            <w:shd w:fill="DDEBF7"/>
            <w:vAlign w:val="center"/>
            <w:tcMar>
              <w:top w:w="80" w:type="dxa"/>
              <w:start w:w="100" w:type="dxa"/>
              <w:bottom w:w="80" w:type="dxa"/>
              <w:end w:w="100" w:type="dxa"/>
            </w:tcMar>
          </w:tcPr>
          <w:p>
            <w:pPr>
              <w:spacing w:before="0" w:after="0" w:line="240" w:lineRule="auto"/>
              <w:jc w:val="center"/>
            </w:pPr>
            <w:r>
              <w:rPr>
                <w:rFonts w:ascii="宋体" w:hAnsi="宋体" w:eastAsia="宋体"/>
                <w:b w:val="0"/>
                <w:sz w:val="21"/>
                <w:lang w:val="zh-CN" w:eastAsia="zh-CN"/>
              </w:rPr>
              <w:t>说明</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标签</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forecast_horizon</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1</w:t>
            </w:r>
          </w:p>
        </w:tc>
        <w:tc>
          <w:tcPr>
            <w:tcW w:type="dxa" w:w="3402"/>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预测下一交易日</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分类</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threshold</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0.0 / 概率0.5</w:t>
            </w:r>
          </w:p>
        </w:tc>
        <w:tc>
          <w:tcPr>
            <w:tcW w:type="dxa" w:w="3402"/>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收益标签阈值/概率决策阈值</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随机森林</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n_estimators</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100</w:t>
            </w:r>
          </w:p>
        </w:tc>
        <w:tc>
          <w:tcPr>
            <w:tcW w:type="dxa" w:w="3402"/>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树数量</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随机森林/决策树</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max_depth</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10</w:t>
            </w:r>
          </w:p>
        </w:tc>
        <w:tc>
          <w:tcPr>
            <w:tcW w:type="dxa" w:w="3402"/>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最大深度</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KNN</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n_neighbors</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5</w:t>
            </w:r>
          </w:p>
        </w:tc>
        <w:tc>
          <w:tcPr>
            <w:tcW w:type="dxa" w:w="3402"/>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邻居数量</w:t>
            </w:r>
          </w:p>
        </w:tc>
      </w:tr>
      <w:tr>
        <w:tc>
          <w:tcPr>
            <w:tcW w:type="dxa" w:w="1701"/>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时间划分</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train/validation/test</w:t>
            </w:r>
          </w:p>
        </w:tc>
        <w:tc>
          <w:tcPr>
            <w:tcW w:type="dxa" w:w="2268"/>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2018—22/2023—24/2025—</w:t>
            </w:r>
          </w:p>
        </w:tc>
        <w:tc>
          <w:tcPr>
            <w:tcW w:type="dxa" w:w="3402"/>
            <w:tcMar>
              <w:top w:w="80" w:type="dxa"/>
              <w:start w:w="100" w:type="dxa"/>
              <w:bottom w:w="80" w:type="dxa"/>
              <w:end w:w="100" w:type="dxa"/>
            </w:tcMar>
            <w:vAlign w:val="center"/>
          </w:tcPr>
          <w:p>
            <w:pPr>
              <w:spacing w:before="0" w:after="0" w:line="240" w:lineRule="auto"/>
              <w:jc w:val="center"/>
            </w:pPr>
            <w:r>
              <w:rPr>
                <w:rFonts w:ascii="宋体" w:hAnsi="宋体" w:eastAsia="宋体"/>
                <w:b w:val="0"/>
                <w:sz w:val="21"/>
                <w:lang w:val="zh-CN" w:eastAsia="zh-CN"/>
              </w:rPr>
              <w:t>固定年份留出</w:t>
            </w:r>
          </w:p>
        </w:tc>
      </w:tr>
    </w:tbl>
    <w:sectPr>
      <w:headerReference w:type="default" r:id="rId13"/>
      <w:footerReference w:type="default" r:id="rId14"/>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67385"/>
        <w:sz w:val="18"/>
        <w:lang w:val="zh-CN" w:eastAsia="zh-CN"/>
      </w:rPr>
      <w:t>程冰晖 · AI Quant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667385"/>
        <w:sz w:val="18"/>
        <w:lang w:val="zh-CN" w:eastAsia="zh-CN"/>
      </w:rPr>
      <w:t>机器学习分类研究 · TASK5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F57C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sz w:val="21"/>
      <w:szCs w:val="22"/>
      <w:lang w:val="zh-CN" w:eastAsia="zh-CN"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程冰晖</dc:creator>
  <dc:description>generated by python-docx</dc:description>
  <cp:lastModifiedBy>binghui</cp:lastModifiedBy>
  <dcterms:modified xsi:type="dcterms:W3CDTF">2026-07-10T21:08:09Z</dcterms:modified>
  <cp:revision>1</cp:revision>
  <dc:title>股票收益数据的分类机器学习研究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03FDBB5B78D42141B9EE506A272FE5C1_42</vt:lpwstr>
  </property>
</Properties>
</file>