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ind w:firstLine="0"/>
        <w:jc w:val="center"/>
      </w:pPr>
      <w:r>
        <w:rPr>
          <w:rFonts w:ascii="宋体" w:hAnsi="宋体" w:eastAsia="宋体"/>
          <w:b/>
          <w:sz w:val="21"/>
        </w:rPr>
        <w:t>TASK4 海龟策略实现与回测分析报告</w:t>
      </w:r>
    </w:p>
    <w:p>
      <w:pPr>
        <w:spacing w:line="360" w:lineRule="auto" w:before="0" w:after="0"/>
        <w:ind w:firstLine="0"/>
        <w:jc w:val="center"/>
      </w:pPr>
      <w:r>
        <w:rPr>
          <w:rFonts w:ascii="宋体" w:hAnsi="宋体" w:eastAsia="宋体"/>
          <w:b w:val="0"/>
          <w:sz w:val="21"/>
        </w:rPr>
        <w:t>姓名：程冰晖</w:t>
      </w:r>
    </w:p>
    <w:p>
      <w:pPr>
        <w:spacing w:line="360" w:lineRule="auto" w:before="0" w:after="0"/>
        <w:ind w:firstLine="0"/>
        <w:jc w:val="center"/>
      </w:pPr>
      <w:r>
        <w:rPr>
          <w:rFonts w:ascii="宋体" w:hAnsi="宋体" w:eastAsia="宋体"/>
          <w:b w:val="0"/>
          <w:sz w:val="21"/>
        </w:rPr>
        <w:t>策略：Turtle Core 20/10，20 日 N 值，2N 止损</w:t>
      </w:r>
    </w:p>
    <w:p>
      <w:pPr>
        <w:spacing w:line="360" w:lineRule="auto" w:before="0" w:after="0"/>
        <w:ind w:firstLine="0"/>
        <w:jc w:val="center"/>
      </w:pPr>
      <w:r>
        <w:rPr>
          <w:rFonts w:ascii="宋体" w:hAnsi="宋体" w:eastAsia="宋体"/>
          <w:b w:val="0"/>
          <w:sz w:val="21"/>
        </w:rPr>
        <w:t>数据口径：复权日线价格 qfq_*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</w:r>
    </w:p>
    <w:p>
      <w:pPr>
        <w:spacing w:line="360" w:lineRule="auto" w:before="0" w:after="0"/>
        <w:ind w:firstLine="0"/>
        <w:jc w:val="left"/>
      </w:pPr>
      <w:r>
        <w:rPr>
          <w:rFonts w:ascii="宋体" w:hAnsi="宋体" w:eastAsia="宋体"/>
          <w:b/>
          <w:sz w:val="21"/>
        </w:rPr>
        <w:t>一、海龟策略的核心思想与优势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海龟策略是一类典型的趋势跟踪策略。它不试图预测价格顶部或底部，而是用价格突破近期高点来确认趋势可能启动，再用近期低点、平均真实波幅和固定风险预算来管理退出与止损。本报告采用核心版规则：当复权收盘价突破前一日已知的 20 日高点通道时，下一交易日开盘买入；当复权收盘价跌破 10 日低点通道或触发 2N 止损时，下一交易日开盘卖出。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该策略的关键优势包括：第一，规则明确，交易条件可以被程序完整复现；第二，顺势而为，能够在强趋势阶段保留头寸；第三，使用 ATR/N 值衡量波动并按风险定仓，使不同价格和波动水平的股票具有相对一致的单笔风险；第四，止损条件事前定义，有助于减少主观判断带来的执行偏差。其局限也很明显：在横盘震荡中容易遇到假突破，样本较短时回测结果稳定性有限。</w:t>
      </w:r>
    </w:p>
    <w:p>
      <w:pPr>
        <w:spacing w:line="360" w:lineRule="auto" w:before="0" w:after="0"/>
        <w:ind w:firstLine="0"/>
        <w:jc w:val="left"/>
      </w:pPr>
      <w:r>
        <w:rPr>
          <w:rFonts w:ascii="宋体" w:hAnsi="宋体" w:eastAsia="宋体"/>
          <w:b/>
          <w:sz w:val="21"/>
        </w:rPr>
        <w:t>二、关键概念说明</w:t>
      </w:r>
    </w:p>
    <w:p>
      <w:pPr>
        <w:spacing w:line="360" w:lineRule="auto" w:before="0" w:after="0"/>
        <w:ind w:firstLine="0"/>
        <w:jc w:val="center"/>
      </w:pPr>
      <w:r>
        <w:rPr>
          <w:rFonts w:ascii="宋体" w:hAnsi="宋体" w:eastAsia="宋体"/>
          <w:b/>
          <w:sz w:val="21"/>
        </w:rPr>
        <w:t>表1 海龟策略关键概念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EAF7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概念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EAF7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本报告中的计算方式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EAF7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作用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高点通道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entry_high_20 = rolling_max(qfq_high, 20).shift(1)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用于识别向上突破入场信号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低点通道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exit_low_10 = rolling_min(qfq_low, 10).shift(1)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用于识别趋势转弱后的退出信号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真实波幅 TR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max(high-low, abs(high-pre_close), abs(low-pre_close))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度量单日真实波动范围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N 值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 日 TR 的海龟平滑值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作为波动率单位，用于定仓和止损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2N 止损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stop_price = entry_price - 2 * entry_n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限制单笔交易风险</w:t>
            </w:r>
          </w:p>
        </w:tc>
      </w:tr>
    </w:tbl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表1中所有价格字段均使用复权后的 qfq_* 字段。通道计算使用 shift(1)，即第 t 日判断信号时，只使用第 t-1 日及以前的高低点区间，避免未来函数。</w:t>
      </w:r>
    </w:p>
    <w:p>
      <w:pPr>
        <w:spacing w:line="360" w:lineRule="auto" w:before="0" w:after="0"/>
        <w:ind w:firstLine="0"/>
        <w:jc w:val="left"/>
      </w:pPr>
      <w:r>
        <w:rPr>
          <w:rFonts w:ascii="宋体" w:hAnsi="宋体" w:eastAsia="宋体"/>
          <w:b/>
          <w:sz w:val="21"/>
        </w:rPr>
        <w:t>三、Python 编程实现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程序首先从 data/processed/equities/daily/ 读取已存储的股票日线 CSV，并检查 trade_date 是否唯一、ts_code 是否单一、qfq_open、qfq_high、qfq_low、qfq_close 和 qfq_pre_close 是否完整。随后计算 TR、20 日 N 值、20 日高点通道和 10 日低点通道。交易信号采用收盘确认、下一交易日开盘执行的方式，买入执行价为 next_qfq_open 叠加滑点，卖出执行价为 next_qfq_open 扣减滑点。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仓位管理使用风险定仓：unit_risk_cash = current_equity × 1%，unit_shares = unit_risk_cash / (2 × N)。这一设置意味着如果入场后价格向下移动 2N，理论亏损约为账户权益的 1%。回测同时扣除 0.1% 手续费和 0.05% 滑点，并计算策略净值、买入持有基准、累计收益、最大回撤、夏普比率、持仓天数占比和交易次数等指标。</w:t>
      </w:r>
    </w:p>
    <w:p>
      <w:pPr>
        <w:spacing w:line="360" w:lineRule="auto" w:before="0" w:after="0"/>
        <w:ind w:firstLine="0"/>
        <w:jc w:val="center"/>
      </w:pPr>
      <w:r>
        <w:rPr>
          <w:rFonts w:ascii="宋体" w:hAnsi="宋体" w:eastAsia="宋体"/>
          <w:b w:val="0"/>
          <w:sz w:val="21"/>
        </w:rPr>
        <w:drawing>
          <wp:inline xmlns:a="http://schemas.openxmlformats.org/drawingml/2006/main" xmlns:pic="http://schemas.openxmlformats.org/drawingml/2006/picture">
            <wp:extent cx="5257800" cy="3192236"/>
            <wp:docPr id="1" name="Picture 1" title="图1 中芯国际港股海龟策略通道与交易信号" descr="图1展示了复权收盘价与 20 日入场通道、10 日退出通道的相对位置。绿色三角为买入执行点，红色三角为卖出执行点。可以看到，海龟策略只在价格突破近期高点后入场，并在趋势回落或触发止损后离场，信号数量较少，体现出趋势跟踪策略等待突破的特点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turtle_signal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192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0"/>
        <w:jc w:val="center"/>
      </w:pPr>
      <w:r>
        <w:rPr>
          <w:rFonts w:ascii="宋体" w:hAnsi="宋体" w:eastAsia="宋体"/>
          <w:b/>
          <w:sz w:val="21"/>
        </w:rPr>
        <w:t>图1 中芯国际港股海龟策略通道与交易信号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图1展示了复权收盘价与 20 日入场通道、10 日退出通道的相对位置。绿色三角为买入执行点，红色三角为卖出执行点。可以看到，海龟策略只在价格突破近期高点后入场，并在趋势回落或触发止损后离场，信号数量较少，体现出趋势跟踪策略等待突破的特点。</w:t>
      </w:r>
    </w:p>
    <w:p>
      <w:pPr>
        <w:spacing w:line="360" w:lineRule="auto" w:before="0" w:after="0"/>
        <w:ind w:firstLine="0"/>
        <w:jc w:val="center"/>
      </w:pPr>
      <w:r>
        <w:rPr>
          <w:rFonts w:ascii="宋体" w:hAnsi="宋体" w:eastAsia="宋体"/>
          <w:b w:val="0"/>
          <w:sz w:val="21"/>
        </w:rPr>
        <w:drawing>
          <wp:inline xmlns:a="http://schemas.openxmlformats.org/drawingml/2006/main" xmlns:pic="http://schemas.openxmlformats.org/drawingml/2006/picture">
            <wp:extent cx="5257800" cy="3192236"/>
            <wp:docPr id="2" name="Picture 2" title="图2 策略净值、买入持有基准与回撤" descr="图2比较了海龟策略净值和买入持有基准，并在下方展示回撤。若策略净值在趋势阶段上行但回撤被控制，说明突破规则和 2N 止损在样本内起到了一定风险约束作用；若策略长期落后于买入持有，则说明该样本可能更适合买入持有或参数需要调整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equity_drawdow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192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0"/>
        <w:jc w:val="center"/>
      </w:pPr>
      <w:r>
        <w:rPr>
          <w:rFonts w:ascii="宋体" w:hAnsi="宋体" w:eastAsia="宋体"/>
          <w:b/>
          <w:sz w:val="21"/>
        </w:rPr>
        <w:t>图2 策略净值、买入持有基准与回撤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图2比较了海龟策略净值和买入持有基准，并在下方展示回撤。若策略净值在趋势阶段上行但回撤被控制，说明突破规则和 2N 止损在样本内起到了一定风险约束作用；若策略长期落后于买入持有，则说明该样本可能更适合买入持有或参数需要调整。</w:t>
      </w:r>
    </w:p>
    <w:p>
      <w:pPr>
        <w:spacing w:line="360" w:lineRule="auto" w:before="0" w:after="0"/>
        <w:ind w:firstLine="0"/>
        <w:jc w:val="left"/>
      </w:pPr>
      <w:r>
        <w:rPr>
          <w:rFonts w:ascii="宋体" w:hAnsi="宋体" w:eastAsia="宋体"/>
          <w:b/>
          <w:sz w:val="21"/>
        </w:rPr>
        <w:t>四、多标的回测结果</w:t>
      </w:r>
    </w:p>
    <w:p>
      <w:pPr>
        <w:spacing w:line="360" w:lineRule="auto" w:before="0" w:after="0"/>
        <w:ind w:firstLine="0"/>
        <w:jc w:val="center"/>
      </w:pPr>
      <w:r>
        <w:rPr>
          <w:rFonts w:ascii="宋体" w:hAnsi="宋体" w:eastAsia="宋体"/>
          <w:b/>
          <w:sz w:val="21"/>
        </w:rPr>
        <w:t>表2 多标的海龟策略绩效汇总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EAF7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标的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EAF7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累计收益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EAF7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最大回撤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EAF7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Sharpe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EAF7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买入持有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EAF7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交易次数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比亚迪A股</w:t>
              <w:br/>
              <w:t>002594.SZ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-1.59%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-3.16%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-0.48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-19.72%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6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比亚迪港股</w:t>
              <w:br/>
              <w:t>01211.HK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-1.74%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-1.88%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-0.81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-31.30%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长电A股</w:t>
              <w:br/>
              <w:t>600900.SH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-3.41%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-4.07%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-1.21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-7.13%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8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中芯A股</w:t>
              <w:br/>
              <w:t>688981.SH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-1.27%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-5.64%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-0.17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62.70%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11</w:t>
            </w:r>
          </w:p>
        </w:tc>
      </w:tr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中芯港股</w:t>
              <w:br/>
              <w:t>00981.HK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0.63%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-6.14%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0.15</w:t>
            </w:r>
          </w:p>
        </w:tc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79.21%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9</w:t>
            </w:r>
          </w:p>
        </w:tc>
      </w:tr>
    </w:tbl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表2显示，同一套规则在不同股票上的表现差异明显。海龟策略依赖持续趋势，因此趋势强、波动扩张后能延续的标的更容易产生较好收益；如果价格频繁突破后回落，则交易次数可能增加，但收益和夏普比率未必改善。</w:t>
      </w:r>
    </w:p>
    <w:p>
      <w:pPr>
        <w:spacing w:line="360" w:lineRule="auto" w:before="0" w:after="0"/>
        <w:ind w:firstLine="0"/>
        <w:jc w:val="center"/>
      </w:pPr>
      <w:r>
        <w:rPr>
          <w:rFonts w:ascii="宋体" w:hAnsi="宋体" w:eastAsia="宋体"/>
          <w:b w:val="0"/>
          <w:sz w:val="21"/>
        </w:rPr>
        <w:drawing>
          <wp:inline xmlns:a="http://schemas.openxmlformats.org/drawingml/2006/main" xmlns:pic="http://schemas.openxmlformats.org/drawingml/2006/picture">
            <wp:extent cx="5257800" cy="3192236"/>
            <wp:docPr id="3" name="Picture 3" title="图3 多标的海龟策略绩效对比" descr="图3把累计收益、最大回撤和 Sharpe 放在同一张对比图中。最大回撤以绝对值展示，便于观察风险大小。该图说明，海龟策略不是对所有股票都稳定有效，策略表现与股票自身趋势结构、波动水平和样本期行情密切相关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multi_stock_metric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192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0"/>
        <w:jc w:val="center"/>
      </w:pPr>
      <w:r>
        <w:rPr>
          <w:rFonts w:ascii="宋体" w:hAnsi="宋体" w:eastAsia="宋体"/>
          <w:b/>
          <w:sz w:val="21"/>
        </w:rPr>
        <w:t>图3 多标的海龟策略绩效对比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图3把累计收益、最大回撤和 Sharpe 放在同一张对比图中。最大回撤以绝对值展示，便于观察风险大小。该图说明，海龟策略不是对所有股票都稳定有效，策略表现与股票自身趋势结构、波动水平和样本期行情密切相关。</w:t>
      </w:r>
    </w:p>
    <w:p>
      <w:pPr>
        <w:spacing w:line="360" w:lineRule="auto" w:before="0" w:after="0"/>
        <w:ind w:firstLine="0"/>
        <w:jc w:val="left"/>
      </w:pPr>
      <w:r>
        <w:rPr>
          <w:rFonts w:ascii="宋体" w:hAnsi="宋体" w:eastAsia="宋体"/>
          <w:b/>
          <w:sz w:val="21"/>
        </w:rPr>
        <w:t>五、参数调节与适应场景</w:t>
      </w:r>
    </w:p>
    <w:p>
      <w:pPr>
        <w:spacing w:line="360" w:lineRule="auto" w:before="0" w:after="0"/>
        <w:ind w:firstLine="0"/>
        <w:jc w:val="center"/>
      </w:pPr>
      <w:r>
        <w:rPr>
          <w:rFonts w:ascii="宋体" w:hAnsi="宋体" w:eastAsia="宋体"/>
          <w:b/>
          <w:sz w:val="21"/>
        </w:rPr>
        <w:t>表3 中芯国际港股参数敏感性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EAF7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入场/退出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EAF7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累计收益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EAF7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最大回撤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EAF7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Sharpe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EAF7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交易次数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20/10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0.63%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-6.14%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0.15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9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30/15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3.80%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-5.14%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0.63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5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40/20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-1.09%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-4.89%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-0.18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7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55/20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0.64%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-3.74%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0.15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3</w:t>
            </w:r>
          </w:p>
        </w:tc>
      </w:tr>
    </w:tbl>
    <w:p>
      <w:pPr>
        <w:spacing w:line="360" w:lineRule="auto" w:before="0" w:after="0"/>
        <w:ind w:firstLine="0"/>
        <w:jc w:val="center"/>
      </w:pPr>
      <w:r>
        <w:rPr>
          <w:rFonts w:ascii="宋体" w:hAnsi="宋体" w:eastAsia="宋体"/>
          <w:b w:val="0"/>
          <w:sz w:val="21"/>
        </w:rPr>
        <w:drawing>
          <wp:inline xmlns:a="http://schemas.openxmlformats.org/drawingml/2006/main" xmlns:pic="http://schemas.openxmlformats.org/drawingml/2006/picture">
            <wp:extent cx="5257800" cy="3192236"/>
            <wp:docPr id="4" name="Picture 4" title="图4 核心参数敏感性分析" descr="图4展示不同通道周期下的收益、回撤、夏普比率和交易次数。短周期如 20/10 对价格变化更敏感，可能更早捕捉突破，但也更容易受到震荡噪声影响；长周期如 55/20 信号更少，通常要求趋势更强、更持久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arameter_sensitiv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192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ind w:firstLine="0"/>
        <w:jc w:val="center"/>
      </w:pPr>
      <w:r>
        <w:rPr>
          <w:rFonts w:ascii="宋体" w:hAnsi="宋体" w:eastAsia="宋体"/>
          <w:b/>
          <w:sz w:val="21"/>
        </w:rPr>
        <w:t>图4 核心参数敏感性分析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图4展示不同通道周期下的收益、回撤、夏普比率和交易次数。短周期如 20/10 对价格变化更敏感，可能更早捕捉突破，但也更容易受到震荡噪声影响；长周期如 55/20 信号更少，通常要求趋势更强、更持久。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综合本次实验，海龟法则更适合趋势持续性较强、突破后有延续空间的行情。对于横盘震荡、跳空频繁或趋势很短的股票，该策略可能反复触发买入和止损，导致交易成本增加。实际应用时应结合更长样本、交易单位、流动性、涨跌停和组合级风险上限进行进一步检验。</w:t>
      </w:r>
    </w:p>
    <w:p>
      <w:pPr>
        <w:spacing w:line="360" w:lineRule="auto" w:before="0" w:after="0"/>
        <w:ind w:firstLine="0"/>
        <w:jc w:val="left"/>
      </w:pPr>
      <w:r>
        <w:rPr>
          <w:rFonts w:ascii="宋体" w:hAnsi="宋体" w:eastAsia="宋体"/>
          <w:b/>
          <w:sz w:val="21"/>
        </w:rPr>
        <w:t>六、结论</w:t>
      </w:r>
    </w:p>
    <w:p>
      <w:pPr>
        <w:spacing w:line="360" w:lineRule="auto" w:before="0" w:after="0"/>
        <w:ind w:firstLine="420"/>
        <w:jc w:val="both"/>
      </w:pPr>
      <w:r>
        <w:rPr>
          <w:rFonts w:ascii="宋体" w:hAnsi="宋体" w:eastAsia="宋体"/>
          <w:b w:val="0"/>
          <w:sz w:val="21"/>
        </w:rPr>
        <w:t>本次 Task4 完成了数据加载、通道计算、ATR/N 值计算、买卖信号生成、可视化和模拟回测。结果表明，海龟策略规则清晰、风险控制明确，适合捕捉持续趋势；但它对震荡行情较敏感，且一年左右样本无法证明长期稳定性。本报告仅用于课程学习和历史回测分析，不构成投资建议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jc w:val="both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