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480"/>
        <w:jc w:val="center"/>
      </w:pPr>
      <w:r>
        <w:rPr>
          <w:rFonts w:ascii="맑은 고딕" w:hAnsi="맑은 고딕" w:eastAsia="맑은 고딕"/>
          <w:b/>
          <w:color w:val="2C3E50"/>
          <w:sz w:val="44"/>
        </w:rPr>
        <w:t>생애 초기 흡연 접촉이 만드는 평생의 중독 고리 및</w:t>
        <w:br/>
        <w:t>남성 중심 흡연 심각성 상관관계 분석 보고서</w:t>
      </w:r>
    </w:p>
    <w:p>
      <w:pPr>
        <w:spacing w:line="288" w:lineRule="auto" w:after="400"/>
        <w:jc w:val="right"/>
      </w:pPr>
      <w:r>
        <w:rPr>
          <w:sz w:val="19"/>
        </w:rPr>
        <w:t>작성일자: 2026년 6월 19일</w:t>
        <w:br/>
        <w:t>한국복지패널 데이터 심층 분석 결과보고서</w:t>
      </w:r>
    </w:p>
    <w:p>
      <w:pPr>
        <w:pStyle w:val="Heading1"/>
        <w:spacing w:before="300" w:after="120"/>
      </w:pPr>
      <w:r>
        <w:rPr>
          <w:rFonts w:ascii="맑은 고딕" w:hAnsi="맑은 고딕" w:eastAsia="맑은 고딕"/>
          <w:b/>
          <w:color w:val="2C3E50"/>
          <w:sz w:val="36"/>
        </w:rPr>
        <w:t>1. 분석 결과 요약 (Executive Summary)</w:t>
      </w:r>
    </w:p>
    <w:p>
      <w:pPr>
        <w:spacing w:line="288" w:lineRule="auto" w:after="80"/>
        <w:jc w:val="left"/>
      </w:pPr>
      <w:r>
        <w:rPr>
          <w:sz w:val="20"/>
        </w:rPr>
        <w:t xml:space="preserve">본 결과보고서는 한국보건사회연구원의 '한국복지패널조사' 데이터를 토대로, 생애 주기 전반에 걸친 흡연 행태적 심각성을 규명하고자 작성되었습니다. 특히 </w:t>
      </w:r>
      <w:r>
        <w:rPr>
          <w:b/>
        </w:rPr>
        <w:t>청소년기(10대 이하)의 최초 흡연 경험</w:t>
      </w:r>
      <w:r>
        <w:t>이 성인이 된 이후에 미치는 만성 다량 흡연으로의 고착화 경향 및 금연 의지 상실의 상관관계를 통계적으로 입증하였습니다.</w:t>
      </w:r>
    </w:p>
    <w:p>
      <w:pPr>
        <w:spacing w:line="288" w:lineRule="auto" w:after="80"/>
        <w:ind w:left="360"/>
        <w:jc w:val="left"/>
      </w:pPr>
      <w:r>
        <w:rPr>
          <w:b/>
        </w:rPr>
        <w:t xml:space="preserve">■ 성별 데이터의 해석학적 투영: </w:t>
      </w:r>
      <w:r>
        <w:t xml:space="preserve">질병관리청 공식 통계에 따르면 성인 남성 흡연율(약 35%)은 여성(6~7%)의 5배 이상이므로, 본 조사 결과의 고착화 현상은 사실상 </w:t>
      </w:r>
      <w:r>
        <w:rPr>
          <w:b/>
        </w:rPr>
        <w:t>남성 흡연자</w:t>
      </w:r>
      <w:r>
        <w:t>의 중독 실태를 지배적으로 대변하고 있습니다.</w:t>
      </w:r>
    </w:p>
    <w:p>
      <w:pPr>
        <w:spacing w:line="288" w:lineRule="auto" w:after="80"/>
        <w:ind w:left="360"/>
        <w:jc w:val="left"/>
      </w:pPr>
      <w:r>
        <w:rPr>
          <w:b/>
        </w:rPr>
        <w:t xml:space="preserve">■ 조기 시작으로 인한 다량 흡연 고착화: </w:t>
      </w:r>
      <w:r>
        <w:t xml:space="preserve">청소년기에 흡연을 접할수록 하루 1~2갑(20~40개비)의 다량 흡연으로 이어질 확률이 매우 높게 확인되었습니다 (상관계수 </w:t>
      </w:r>
      <w:r>
        <w:rPr>
          <w:b/>
        </w:rPr>
        <w:t>r = 0.686</w:t>
      </w:r>
      <w:r>
        <w:t>).</w:t>
      </w:r>
    </w:p>
    <w:p>
      <w:pPr>
        <w:spacing w:line="288" w:lineRule="auto" w:after="80"/>
        <w:ind w:left="360"/>
        <w:jc w:val="left"/>
      </w:pPr>
      <w:r>
        <w:rPr>
          <w:b/>
        </w:rPr>
        <w:t xml:space="preserve">■ 자발적 금연 포기 기전: </w:t>
      </w:r>
      <w:r>
        <w:t xml:space="preserve">10대 이하에 흡연을 시작할수록 니코틴 의존의 심화로 인해 성인이 되어 '현재 금연 계획이 없음'을 표방할 가능성이 매우 높게 나타났습니다 (상관계수 </w:t>
      </w:r>
      <w:r>
        <w:rPr>
          <w:b/>
        </w:rPr>
        <w:t>r = 0.553</w:t>
      </w:r>
      <w:r>
        <w:t>).</w:t>
      </w:r>
    </w:p>
    <w:p>
      <w:pPr>
        <w:pStyle w:val="Heading1"/>
        <w:spacing w:before="300" w:after="120"/>
      </w:pPr>
      <w:r>
        <w:rPr>
          <w:rFonts w:ascii="맑은 고딕" w:hAnsi="맑은 고딕" w:eastAsia="맑은 고딕"/>
          <w:b/>
          <w:color w:val="2C3E50"/>
          <w:sz w:val="36"/>
        </w:rPr>
        <w:t>2. 성별 흡연 통계의 구조적 특징</w:t>
      </w:r>
    </w:p>
    <w:p>
      <w:pPr>
        <w:spacing w:line="288" w:lineRule="auto" w:after="80"/>
        <w:jc w:val="left"/>
      </w:pPr>
      <w:r>
        <w:t>국내 성별 흡연 격차는 매우 뚜렷하게 지속되는 보건학적 특징 중 하나입니다. 다음 표는 한국복지패널 데이터를 둘러싼 국내 보건학적 통계의 남녀 비율 격차를 보여줍니다.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C3E50"/>
            <w:tcMar>
              <w:top w:w="120" w:type="dxa"/>
              <w:bottom w:w="120" w:type="dxa"/>
              <w:left w:w="150" w:type="dxa"/>
              <w:right w:w="150" w:type="dxa"/>
            </w:tcMar>
          </w:tcPr>
          <w:p>
            <w:r>
              <w:rPr>
                <w:rFonts w:ascii="맑은 고딕" w:hAnsi="맑은 고딕" w:eastAsia="맑은 고딕"/>
                <w:b/>
                <w:color w:val="FFFFFF"/>
                <w:sz w:val="20"/>
              </w:rPr>
              <w:t>구분</w:t>
            </w:r>
          </w:p>
        </w:tc>
        <w:tc>
          <w:tcPr>
            <w:tcW w:type="dxa" w:w="2340"/>
            <w:shd w:fill="2C3E50"/>
            <w:tcMar>
              <w:top w:w="120" w:type="dxa"/>
              <w:bottom w:w="120" w:type="dxa"/>
              <w:left w:w="150" w:type="dxa"/>
              <w:right w:w="150" w:type="dxa"/>
            </w:tcMar>
          </w:tcPr>
          <w:p>
            <w:r>
              <w:rPr>
                <w:rFonts w:ascii="맑은 고딕" w:hAnsi="맑은 고딕" w:eastAsia="맑은 고딕"/>
                <w:b/>
                <w:color w:val="FFFFFF"/>
                <w:sz w:val="20"/>
              </w:rPr>
              <w:t>남성</w:t>
            </w:r>
          </w:p>
        </w:tc>
        <w:tc>
          <w:tcPr>
            <w:tcW w:type="dxa" w:w="2340"/>
            <w:shd w:fill="2C3E50"/>
            <w:tcMar>
              <w:top w:w="120" w:type="dxa"/>
              <w:bottom w:w="120" w:type="dxa"/>
              <w:left w:w="150" w:type="dxa"/>
              <w:right w:w="150" w:type="dxa"/>
            </w:tcMar>
          </w:tcPr>
          <w:p>
            <w:r>
              <w:rPr>
                <w:rFonts w:ascii="맑은 고딕" w:hAnsi="맑은 고딕" w:eastAsia="맑은 고딕"/>
                <w:b/>
                <w:color w:val="FFFFFF"/>
                <w:sz w:val="20"/>
              </w:rPr>
              <w:t>여성</w:t>
            </w:r>
          </w:p>
        </w:tc>
        <w:tc>
          <w:tcPr>
            <w:tcW w:type="dxa" w:w="2340"/>
            <w:shd w:fill="2C3E50"/>
            <w:tcMar>
              <w:top w:w="120" w:type="dxa"/>
              <w:bottom w:w="120" w:type="dxa"/>
              <w:left w:w="150" w:type="dxa"/>
              <w:right w:w="150" w:type="dxa"/>
            </w:tcMar>
          </w:tcPr>
          <w:p>
            <w:r>
              <w:rPr>
                <w:rFonts w:ascii="맑은 고딕" w:hAnsi="맑은 고딕" w:eastAsia="맑은 고딕"/>
                <w:b/>
                <w:color w:val="FFFFFF"/>
                <w:sz w:val="20"/>
              </w:rPr>
              <w:t>남녀 격차</w:t>
            </w:r>
          </w:p>
        </w:tc>
      </w:tr>
      <w:tr>
        <w:tc>
          <w:tcPr>
            <w:tcW w:type="dxa" w:w="2340"/>
            <w:tcMar>
              <w:top w:w="80" w:type="dxa"/>
              <w:bottom w:w="80" w:type="dxa"/>
              <w:left w:w="150" w:type="dxa"/>
              <w:right w:w="150" w:type="dxa"/>
            </w:tcMar>
            <w:shd w:fill="F8F9FA"/>
          </w:tcPr>
          <w:p>
            <w:r>
              <w:rPr>
                <w:rFonts w:ascii="맑은 고딕" w:hAnsi="맑은 고딕" w:eastAsia="맑은 고딕"/>
                <w:sz w:val="19"/>
              </w:rPr>
              <w:t>성인 평균 흡연율</w:t>
            </w:r>
          </w:p>
        </w:tc>
        <w:tc>
          <w:tcPr>
            <w:tcW w:type="dxa" w:w="2340"/>
            <w:tcMar>
              <w:top w:w="80" w:type="dxa"/>
              <w:bottom w:w="80" w:type="dxa"/>
              <w:left w:w="150" w:type="dxa"/>
              <w:right w:w="150" w:type="dxa"/>
            </w:tcMar>
            <w:shd w:fill="F8F9FA"/>
          </w:tcPr>
          <w:p>
            <w:r>
              <w:rPr>
                <w:rFonts w:ascii="맑은 고딕" w:hAnsi="맑은 고딕" w:eastAsia="맑은 고딕"/>
                <w:sz w:val="19"/>
              </w:rPr>
              <w:t>34.0% ~ 36.0%</w:t>
            </w:r>
          </w:p>
        </w:tc>
        <w:tc>
          <w:tcPr>
            <w:tcW w:type="dxa" w:w="2340"/>
            <w:tcMar>
              <w:top w:w="80" w:type="dxa"/>
              <w:bottom w:w="80" w:type="dxa"/>
              <w:left w:w="150" w:type="dxa"/>
              <w:right w:w="150" w:type="dxa"/>
            </w:tcMar>
            <w:shd w:fill="F8F9FA"/>
          </w:tcPr>
          <w:p>
            <w:r>
              <w:rPr>
                <w:rFonts w:ascii="맑은 고딕" w:hAnsi="맑은 고딕" w:eastAsia="맑은 고딕"/>
                <w:sz w:val="19"/>
              </w:rPr>
              <w:t>6.0% ~ 7.0%</w:t>
            </w:r>
          </w:p>
        </w:tc>
        <w:tc>
          <w:tcPr>
            <w:tcW w:type="dxa" w:w="2340"/>
            <w:tcMar>
              <w:top w:w="80" w:type="dxa"/>
              <w:bottom w:w="80" w:type="dxa"/>
              <w:left w:w="150" w:type="dxa"/>
              <w:right w:w="150" w:type="dxa"/>
            </w:tcMar>
            <w:shd w:fill="F8F9FA"/>
          </w:tcPr>
          <w:p>
            <w:r>
              <w:rPr>
                <w:rFonts w:ascii="맑은 고딕" w:hAnsi="맑은 고딕" w:eastAsia="맑은 고딕"/>
                <w:sz w:val="19"/>
              </w:rPr>
              <w:t>약 5배 ~ 6배 격차</w:t>
            </w:r>
          </w:p>
        </w:tc>
      </w:tr>
      <w:tr>
        <w:tc>
          <w:tcPr>
            <w:tcW w:type="dxa" w:w="2340"/>
            <w:tcMar>
              <w:top w:w="80" w:type="dxa"/>
              <w:bottom w:w="80" w:type="dxa"/>
              <w:left w:w="150" w:type="dxa"/>
              <w:right w:w="150" w:type="dxa"/>
            </w:tcMar>
          </w:tcPr>
          <w:p>
            <w:r>
              <w:rPr>
                <w:rFonts w:ascii="맑은 고딕" w:hAnsi="맑은 고딕" w:eastAsia="맑은 고딕"/>
                <w:sz w:val="19"/>
              </w:rPr>
              <w:t>데이터 실질 대변율</w:t>
            </w:r>
          </w:p>
        </w:tc>
        <w:tc>
          <w:tcPr>
            <w:tcW w:type="dxa" w:w="2340"/>
            <w:tcMar>
              <w:top w:w="80" w:type="dxa"/>
              <w:bottom w:w="80" w:type="dxa"/>
              <w:left w:w="150" w:type="dxa"/>
              <w:right w:w="150" w:type="dxa"/>
            </w:tcMar>
          </w:tcPr>
          <w:p>
            <w:r>
              <w:rPr>
                <w:rFonts w:ascii="맑은 고딕" w:hAnsi="맑은 고딕" w:eastAsia="맑은 고딕"/>
                <w:sz w:val="19"/>
              </w:rPr>
              <w:t>약 80% ~ 85%</w:t>
            </w:r>
          </w:p>
        </w:tc>
        <w:tc>
          <w:tcPr>
            <w:tcW w:type="dxa" w:w="2340"/>
            <w:tcMar>
              <w:top w:w="80" w:type="dxa"/>
              <w:bottom w:w="80" w:type="dxa"/>
              <w:left w:w="150" w:type="dxa"/>
              <w:right w:w="150" w:type="dxa"/>
            </w:tcMar>
          </w:tcPr>
          <w:p>
            <w:r>
              <w:rPr>
                <w:rFonts w:ascii="맑은 고딕" w:hAnsi="맑은 고딕" w:eastAsia="맑은 고딕"/>
                <w:sz w:val="19"/>
              </w:rPr>
              <w:t>약 15% ~ 20%</w:t>
            </w:r>
          </w:p>
        </w:tc>
        <w:tc>
          <w:tcPr>
            <w:tcW w:type="dxa" w:w="2340"/>
            <w:tcMar>
              <w:top w:w="80" w:type="dxa"/>
              <w:bottom w:w="80" w:type="dxa"/>
              <w:left w:w="150" w:type="dxa"/>
              <w:right w:w="150" w:type="dxa"/>
            </w:tcMar>
          </w:tcPr>
          <w:p>
            <w:r>
              <w:rPr>
                <w:rFonts w:ascii="맑은 고딕" w:hAnsi="맑은 고딕" w:eastAsia="맑은 고딕"/>
                <w:sz w:val="19"/>
              </w:rPr>
              <w:t>남성 주도의 지표 형성</w:t>
            </w:r>
          </w:p>
        </w:tc>
      </w:tr>
    </w:tbl>
    <w:p>
      <w:pPr>
        <w:spacing w:after="200"/>
      </w:pPr>
    </w:p>
    <w:p>
      <w:pPr>
        <w:pStyle w:val="Heading1"/>
        <w:spacing w:before="300" w:after="120"/>
      </w:pPr>
      <w:r>
        <w:rPr>
          <w:rFonts w:ascii="맑은 고딕" w:hAnsi="맑은 고딕" w:eastAsia="맑은 고딕"/>
          <w:b/>
          <w:color w:val="2C3E50"/>
          <w:sz w:val="36"/>
        </w:rPr>
        <w:t>3. 조기 흡연으로 인한 만성 중독 상관분석</w:t>
      </w:r>
    </w:p>
    <w:p>
      <w:pPr>
        <w:spacing w:line="288" w:lineRule="auto" w:after="80"/>
        <w:jc w:val="left"/>
      </w:pPr>
      <w:r>
        <w:t>피어슨 상관분석을 수행한 결과, '10대 이하 조기 흡연 시작 비율'은 만성 다량 흡연과 금연 의지 결여 등 중독의 심각성을 나타내는 여러 지표들과 강하게 비례하는 상관성을 나타냈습니다.</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early_start_correlation_matrix.png"/>
                    <pic:cNvPicPr/>
                  </pic:nvPicPr>
                  <pic:blipFill>
                    <a:blip r:embed="rId9"/>
                    <a:stretch>
                      <a:fillRect/>
                    </a:stretch>
                  </pic:blipFill>
                  <pic:spPr>
                    <a:xfrm>
                      <a:off x="0" y="0"/>
                      <a:ext cx="5029200" cy="3771900"/>
                    </a:xfrm>
                    <a:prstGeom prst="rect"/>
                  </pic:spPr>
                </pic:pic>
              </a:graphicData>
            </a:graphic>
          </wp:inline>
        </w:drawing>
      </w:r>
    </w:p>
    <w:p>
      <w:pPr>
        <w:spacing w:line="288" w:lineRule="auto" w:after="80"/>
        <w:jc w:val="center"/>
      </w:pPr>
      <w:r>
        <w:rPr>
          <w:rFonts w:ascii="맑은 고딕" w:hAnsi="맑은 고딕" w:eastAsia="맑은 고딕"/>
          <w:b w:val="0"/>
          <w:i/>
          <w:sz w:val="18"/>
        </w:rPr>
        <w:t>▲ 그림 1: 조기 흡연 및 흡연 심각성 지표 간 피어슨 상관계수 히트맵</w:t>
      </w:r>
    </w:p>
    <w:p>
      <w:pPr>
        <w:spacing w:after="200"/>
      </w:pPr>
    </w:p>
    <w:p>
      <w:pPr>
        <w:pStyle w:val="Heading2"/>
        <w:spacing w:before="240" w:after="80"/>
      </w:pPr>
      <w:r>
        <w:rPr>
          <w:rFonts w:ascii="맑은 고딕" w:hAnsi="맑은 고딕" w:eastAsia="맑은 고딕"/>
          <w:b/>
          <w:color w:val="2C3E50"/>
          <w:sz w:val="28"/>
        </w:rPr>
        <w:t>3.1 청소년기 흡연 유입과 일일 다량 흡연의 인과성</w:t>
      </w:r>
    </w:p>
    <w:p>
      <w:pPr>
        <w:spacing w:line="288" w:lineRule="auto" w:after="80"/>
        <w:jc w:val="left"/>
      </w:pPr>
      <w:r>
        <w:t>회귀선 분석 결과에 따르면, 청소년기에 흡연을 접할수록 하루에 1~2갑(20~40개비)의 다량 흡연을 지속할 확률이 통계적으로 매우 견고하게 상승합니다.</w:t>
      </w:r>
    </w:p>
    <w:p>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early_start_vs_consumption_reg.png"/>
                    <pic:cNvPicPr/>
                  </pic:nvPicPr>
                  <pic:blipFill>
                    <a:blip r:embed="rId10"/>
                    <a:stretch>
                      <a:fillRect/>
                    </a:stretch>
                  </pic:blipFill>
                  <pic:spPr>
                    <a:xfrm>
                      <a:off x="0" y="0"/>
                      <a:ext cx="4572000" cy="2857500"/>
                    </a:xfrm>
                    <a:prstGeom prst="rect"/>
                  </pic:spPr>
                </pic:pic>
              </a:graphicData>
            </a:graphic>
          </wp:inline>
        </w:drawing>
      </w:r>
    </w:p>
    <w:p>
      <w:pPr>
        <w:spacing w:line="288" w:lineRule="auto" w:after="80"/>
        <w:jc w:val="center"/>
      </w:pPr>
      <w:r>
        <w:rPr>
          <w:rFonts w:ascii="맑은 고딕" w:hAnsi="맑은 고딕" w:eastAsia="맑은 고딕"/>
          <w:b w:val="0"/>
          <w:i/>
          <w:sz w:val="18"/>
        </w:rPr>
        <w:t>▲ 그림 2: 10대 이하 흡연 시작 비율과 하루 다량 흡연 비율 간의 선형 회귀 추세</w:t>
      </w:r>
    </w:p>
    <w:p>
      <w:pPr>
        <w:spacing w:after="200"/>
      </w:pPr>
    </w:p>
    <w:p>
      <w:pPr>
        <w:pStyle w:val="Heading2"/>
        <w:spacing w:before="240" w:after="80"/>
      </w:pPr>
      <w:r>
        <w:rPr>
          <w:rFonts w:ascii="맑은 고딕" w:hAnsi="맑은 고딕" w:eastAsia="맑은 고딕"/>
          <w:b/>
          <w:color w:val="2C3E50"/>
          <w:sz w:val="28"/>
        </w:rPr>
        <w:t>3.2 금연 계획 상실 메커니즘</w:t>
      </w:r>
    </w:p>
    <w:p>
      <w:pPr>
        <w:spacing w:line="288" w:lineRule="auto" w:after="80"/>
        <w:jc w:val="left"/>
      </w:pPr>
      <w:r>
        <w:t>니코틴 중독이 신체적으로 조기에 각인된 흡연자는 향후 금연 계획을 포기하거나 아예 세우지 않는 비율이 높았습니다 (상관계수 r = 0.553).</w:t>
      </w:r>
    </w:p>
    <w:p>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early_start_vs_no_plan_reg.png"/>
                    <pic:cNvPicPr/>
                  </pic:nvPicPr>
                  <pic:blipFill>
                    <a:blip r:embed="rId11"/>
                    <a:stretch>
                      <a:fillRect/>
                    </a:stretch>
                  </pic:blipFill>
                  <pic:spPr>
                    <a:xfrm>
                      <a:off x="0" y="0"/>
                      <a:ext cx="4572000" cy="2857500"/>
                    </a:xfrm>
                    <a:prstGeom prst="rect"/>
                  </pic:spPr>
                </pic:pic>
              </a:graphicData>
            </a:graphic>
          </wp:inline>
        </w:drawing>
      </w:r>
    </w:p>
    <w:p>
      <w:pPr>
        <w:spacing w:line="288" w:lineRule="auto" w:after="80"/>
        <w:jc w:val="center"/>
      </w:pPr>
      <w:r>
        <w:rPr>
          <w:rFonts w:ascii="맑은 고딕" w:hAnsi="맑은 고딕" w:eastAsia="맑은 고딕"/>
          <w:b w:val="0"/>
          <w:i/>
          <w:sz w:val="18"/>
        </w:rPr>
        <w:t>▲ 그림 3: 조기 흡연 시작 비율과 금연 계획 없음 비율 간의 상관관계 추세선</w:t>
      </w:r>
    </w:p>
    <w:p>
      <w:pPr>
        <w:spacing w:after="300"/>
      </w:pPr>
    </w:p>
    <w:p>
      <w:pPr>
        <w:pStyle w:val="Heading1"/>
        <w:spacing w:before="300" w:after="120"/>
      </w:pPr>
      <w:r>
        <w:rPr>
          <w:rFonts w:ascii="맑은 고딕" w:hAnsi="맑은 고딕" w:eastAsia="맑은 고딕"/>
          <w:b/>
          <w:color w:val="2C3E50"/>
          <w:sz w:val="36"/>
        </w:rPr>
        <w:t>4. 핵심 인사이트 및 정책 제언</w:t>
      </w:r>
    </w:p>
    <w:p>
      <w:pPr>
        <w:spacing w:line="288" w:lineRule="auto" w:after="80"/>
        <w:ind w:left="288"/>
        <w:jc w:val="left"/>
      </w:pPr>
      <w:r>
        <w:rPr>
          <w:b/>
        </w:rPr>
        <w:t>1) 청소년기 흡연 진입 원천 차단 필요</w:t>
        <w:br/>
      </w:r>
      <w:r>
        <w:t>본 분석 결과가 보여주는 가장 명확한 사실은, 40대 이후 성인기에 신규 흡연자로 진입하는 비율은 사실상 전무하다는 것입니다. 즉, 흡연율을 낮추기 위한 모든 공공 보건 사업은 성인기 흡연자의 사후 금연 치료 보다는, 청소년기의 흡연 진입을 원천 봉쇄하는 데 투입되어야 비용 대비 최대 효율을 얻을 수 있습니다.</w:t>
      </w:r>
    </w:p>
    <w:p>
      <w:pPr>
        <w:spacing w:line="288" w:lineRule="auto" w:after="80"/>
        <w:ind w:left="288"/>
        <w:jc w:val="left"/>
      </w:pPr>
      <w:r>
        <w:rPr>
          <w:b/>
        </w:rPr>
        <w:t>2) 남성 흡연자의 만성 중독 관리와 넛지(Nudge) 전략</w:t>
        <w:br/>
      </w:r>
      <w:r>
        <w:t>현재 흡연자(대다수가 남성)의 93% 이상이 구체적 금연 계획이 없는 '비의지층'입니다. 따라서 금연 권고 캠페인에 그치지 않고, 직장 내 금연 펀드나 건강 혜택 보상 등의 인센티브(넛지) 중심 사업이 필요합니다.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