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80"/>
        <w:jc w:val="center"/>
      </w:pPr>
      <w:r>
        <w:rPr>
          <w:rFonts w:ascii="맑은 고딕" w:hAnsi="맑은 고딕"/>
          <w:b/>
          <w:color w:val="1B4F72"/>
          <w:sz w:val="40"/>
        </w:rPr>
        <w:t>삶의 만족도와 자살률 간의 상관관계 분석 보고서</w:t>
        <w:br/>
        <w:t>(2020 ~ 2024)</w:t>
      </w:r>
    </w:p>
    <w:p>
      <w:pPr>
        <w:spacing w:after="600"/>
        <w:jc w:val="center"/>
      </w:pPr>
      <w:r>
        <w:rPr>
          <w:rFonts w:ascii="맑은 고딕" w:hAnsi="맑은 고딕"/>
          <w:color w:val="7F8C8D"/>
          <w:sz w:val="20"/>
        </w:rPr>
        <w:t>작성일: 2026. 06. 11  |  분석기관: AI 코딩 어시스턴트</w:t>
      </w:r>
    </w:p>
    <w:p>
      <w:pPr>
        <w:keepNext/>
        <w:spacing w:before="360" w:after="120"/>
      </w:pPr>
      <w:r>
        <w:rPr>
          <w:rFonts w:ascii="맑은 고딕" w:hAnsi="맑은 고딕"/>
          <w:b/>
          <w:color w:val="1F618D"/>
          <w:sz w:val="30"/>
        </w:rPr>
        <w:t>1. 요약 (Executive Summary)</w:t>
      </w:r>
    </w:p>
    <w:p>
      <w:pPr>
        <w:pStyle w:val="ListBullet"/>
        <w:spacing w:after="80" w:line="276" w:lineRule="auto"/>
      </w:pPr>
      <w:r>
        <w:rPr>
          <w:rFonts w:ascii="맑은 고딕" w:hAnsi="맑은 고딕"/>
          <w:b/>
        </w:rPr>
        <w:t xml:space="preserve">상관관계의 존재: </w:t>
      </w:r>
      <w:r>
        <w:rPr>
          <w:rFonts w:ascii="맑은 고딕" w:hAnsi="맑은 고딕"/>
        </w:rPr>
        <w:t>시도별 데이터를 성별('계') 기준으로 분석한 결과, 주관적 삶에 대해 '매우 만족'하는 비율이 높을수록 자살률이 낮아지는 통계적으로 유의미한 음(-)의 상관관계가 나타났습니다 (r = -0.2228, p &lt; 0.05).</w:t>
      </w:r>
    </w:p>
    <w:p>
      <w:pPr>
        <w:pStyle w:val="ListBullet"/>
        <w:spacing w:after="80" w:line="276" w:lineRule="auto"/>
      </w:pPr>
      <w:r>
        <w:rPr>
          <w:rFonts w:ascii="맑은 고딕" w:hAnsi="맑은 고딕"/>
          <w:b/>
        </w:rPr>
        <w:t xml:space="preserve">'보통(보통/Apathy)' 응답의 높은 상관성: </w:t>
      </w:r>
      <w:r>
        <w:rPr>
          <w:rFonts w:ascii="맑은 고딕" w:hAnsi="맑은 고딕"/>
        </w:rPr>
        <w:t>분석 결과 중 가장 두드러진 특징은 자신의 삶에 대해 '보통'이라고 응답한 비율이 높을수록 자살률이 크게 증가하는 강한 양(+)의 상관관계가 존재한다는 점입니다 (r = 0.4059, p &lt; 0.001). 이는 뚜렷한 불만족의 표현보다 주관적 무감각 혹은 중간적 유보 상태가 지역적 자살 위험도와 더 밀접한 연관성을 가짐을 시사합니다.</w:t>
      </w:r>
    </w:p>
    <w:p>
      <w:pPr>
        <w:pStyle w:val="ListBullet"/>
        <w:spacing w:after="80" w:line="276" w:lineRule="auto"/>
      </w:pPr>
      <w:r>
        <w:rPr>
          <w:rFonts w:ascii="맑은 고딕" w:hAnsi="맑은 고딕"/>
          <w:b/>
        </w:rPr>
        <w:t xml:space="preserve">성별에 따른 뚜렷한 편차: </w:t>
      </w:r>
      <w:r>
        <w:rPr>
          <w:rFonts w:ascii="맑은 고딕" w:hAnsi="맑은 고딕"/>
        </w:rPr>
        <w:t>남성의 경우 만족도와 자살률 간의 상관관계가 통계적으로 유의미하게 나타난 반면 (매우 만족 r = -0.2577, 보통 r = 0.3586), 여성의 경우 두 변수 간의 통계적 유의성이 나타나지 않았습니다. 또한 남성의 절대적 자살률 수치가 여성보다 약 2배 이상 높았습니다.</w:t>
      </w:r>
    </w:p>
    <w:p>
      <w:pPr>
        <w:pStyle w:val="ListBullet"/>
        <w:spacing w:after="80" w:line="276" w:lineRule="auto"/>
      </w:pPr>
      <w:r>
        <w:rPr>
          <w:rFonts w:ascii="맑은 고딕" w:hAnsi="맑은 고딕"/>
          <w:b/>
        </w:rPr>
        <w:t xml:space="preserve">지역별 편차와 사분면 분류: </w:t>
      </w:r>
      <w:r>
        <w:rPr>
          <w:rFonts w:ascii="맑은 고딕" w:hAnsi="맑은 고딕"/>
        </w:rPr>
        <w:t>5개년 평균 데이터를 기반으로 17개 시도를 분석한 결과, 세종특별자치시가 가장 높은 만족율(50.74%)과 가장 낮은 자살률(20.74명)을 기록해 가장 이상적인 형태를 보였습니다. 반면 충청북도, 전라남도, 경상북도, 울산광역시, 부산광역시는 평균보다 삶의 만족율이 낮으면서 자살률은 높은 '취약 지역'으로 분류되었습니다.</w:t>
      </w:r>
    </w:p>
    <w:p>
      <w:pPr>
        <w:keepNext/>
        <w:spacing w:before="360" w:after="120"/>
      </w:pPr>
      <w:r>
        <w:rPr>
          <w:rFonts w:ascii="맑은 고딕" w:hAnsi="맑은 고딕"/>
          <w:b/>
          <w:color w:val="1F618D"/>
          <w:sz w:val="30"/>
        </w:rPr>
        <w:t>2. 데이터 개요 및 분석 방법론</w:t>
      </w:r>
    </w:p>
    <w:p>
      <w:pPr>
        <w:keepNext/>
        <w:spacing w:before="240" w:after="80"/>
      </w:pPr>
      <w:r>
        <w:rPr>
          <w:rFonts w:ascii="맑은 고딕" w:hAnsi="맑은 고딕"/>
          <w:b/>
          <w:color w:val="2E4053"/>
          <w:sz w:val="24"/>
        </w:rPr>
        <w:t>2.1 분석 대상 데이터</w:t>
      </w:r>
    </w:p>
    <w:p>
      <w:pPr>
        <w:pStyle w:val="ListBullet"/>
        <w:spacing w:after="80" w:line="276" w:lineRule="auto"/>
      </w:pPr>
      <w:r>
        <w:rPr>
          <w:rFonts w:ascii="맑은 고딕" w:hAnsi="맑은 고딕"/>
        </w:rPr>
        <w:t>삶의 만족도 데이터: 삶의_만족도_시도__20260606195059.xlsx</w:t>
        <w:br/>
        <w:t>- 조사 항목: 매우 만족, 약간 만족, 보통, 약간 불만족, 매우 불만족, 계 (%)</w:t>
        <w:br/>
        <w:t>- 지역 범위: 전국 및 17개 시도 (2020년 ~ 2024년)</w:t>
      </w:r>
    </w:p>
    <w:p>
      <w:pPr>
        <w:pStyle w:val="ListBullet"/>
        <w:spacing w:after="80" w:line="276" w:lineRule="auto"/>
      </w:pPr>
      <w:r>
        <w:rPr>
          <w:rFonts w:ascii="맑은 고딕" w:hAnsi="맑은 고딕"/>
        </w:rPr>
        <w:t>자살률 데이터: 인구십만명당_자살률_시도_시_군_구__20260606194913.xlsx</w:t>
        <w:br/>
        <w:t>- 조사 항목: 인구 10만 명당 자살률 (명)</w:t>
        <w:br/>
        <w:t>- 지역 범위: 전국 및 17개 시도 (2020년 ~ 2024년)</w:t>
      </w:r>
    </w:p>
    <w:p>
      <w:pPr>
        <w:keepNext/>
        <w:spacing w:before="240" w:after="80"/>
      </w:pPr>
      <w:r>
        <w:rPr>
          <w:rFonts w:ascii="맑은 고딕" w:hAnsi="맑은 고딕"/>
          <w:b/>
          <w:color w:val="2E4053"/>
          <w:sz w:val="24"/>
        </w:rPr>
        <w:t>2.2 데이터 전처리 및 정제</w:t>
      </w:r>
    </w:p>
    <w:p>
      <w:pPr>
        <w:pStyle w:val="ListBullet"/>
        <w:spacing w:after="80" w:line="276" w:lineRule="auto"/>
      </w:pPr>
      <w:r>
        <w:rPr>
          <w:rFonts w:ascii="맑은 고딕" w:hAnsi="맑은 고딕"/>
          <w:b/>
        </w:rPr>
        <w:t xml:space="preserve">행정구역명 표준화: </w:t>
      </w:r>
      <w:r>
        <w:rPr>
          <w:rFonts w:ascii="맑은 고딕" w:hAnsi="맑은 고딕"/>
        </w:rPr>
        <w:t>자살률 데이터의 '전라북도'를 삶의 만족도 데이터에 맞춰 '전북특별자치도'로, '제주도'를 '제주특별자치도'로 변경하여 정합성을 맞추었습니다.</w:t>
      </w:r>
    </w:p>
    <w:p>
      <w:pPr>
        <w:pStyle w:val="ListBullet"/>
        <w:spacing w:after="80" w:line="276" w:lineRule="auto"/>
      </w:pPr>
      <w:r>
        <w:rPr>
          <w:rFonts w:ascii="맑은 고딕" w:hAnsi="맑은 고딕"/>
          <w:b/>
        </w:rPr>
        <w:t xml:space="preserve">데이터 구조 정렬: </w:t>
      </w:r>
      <w:r>
        <w:rPr>
          <w:rFonts w:ascii="맑은 고딕" w:hAnsi="맑은 고딕"/>
        </w:rPr>
        <w:t>각 엑셀 파일의 년도별 세부 컬럼(만족도 6단계, 자살률 성별 3단계)을 단일한 '연도', '성별' 키값으로 병합하여 장형(Long-format) 데이터로 재구조화했습니다.</w:t>
      </w:r>
    </w:p>
    <w:p>
      <w:pPr>
        <w:pStyle w:val="ListBullet"/>
        <w:spacing w:after="80" w:line="276" w:lineRule="auto"/>
      </w:pPr>
      <w:r>
        <w:rPr>
          <w:rFonts w:ascii="맑은 고딕" w:hAnsi="맑은 고딕"/>
          <w:b/>
        </w:rPr>
        <w:t xml:space="preserve">변수 생성: </w:t>
      </w:r>
      <w:r>
        <w:rPr>
          <w:rFonts w:ascii="맑은 고딕" w:hAnsi="맑은 고딕"/>
        </w:rPr>
        <w:t>만족율 = '매우 만족 (%)' + '약간 만족 (%)', 불만족율 = '약간 불만족 (%)' + '매우 불만족 (%)'</w:t>
      </w:r>
    </w:p>
    <w:p>
      <w:pPr>
        <w:keepNext/>
        <w:spacing w:before="240" w:after="80"/>
      </w:pPr>
      <w:r>
        <w:rPr>
          <w:rFonts w:ascii="맑은 고딕" w:hAnsi="맑은 고딕"/>
          <w:b/>
          <w:color w:val="2E4053"/>
          <w:sz w:val="24"/>
        </w:rPr>
        <w:t>2.3 분석 방법</w:t>
      </w:r>
    </w:p>
    <w:p>
      <w:pPr>
        <w:pStyle w:val="ListBullet"/>
        <w:spacing w:after="80" w:line="276" w:lineRule="auto"/>
      </w:pPr>
      <w:r>
        <w:rPr>
          <w:rFonts w:ascii="맑은 고딕" w:hAnsi="맑은 고딕"/>
        </w:rPr>
        <w:t>전국 단위(행정구역='전국') 데이터는 연도별 전국 추이 분석에만 사용하고, 통계적 상관계수 산출 및 지역 분석 시에는 데이터 왜곡을 방지하기 위해 17개 시도별 데이터만 필터링하여 분석을 진행했습니다.</w:t>
      </w:r>
    </w:p>
    <w:p>
      <w:pPr>
        <w:pStyle w:val="ListBullet"/>
        <w:spacing w:after="80" w:line="276" w:lineRule="auto"/>
      </w:pPr>
      <w:r>
        <w:rPr>
          <w:rFonts w:ascii="맑은 고딕" w:hAnsi="맑은 고딕"/>
        </w:rPr>
        <w:t>피어슨 상관계수(Pearson Correlation Coefficient, r) 및 유의확률(p-value)을 활용해 통계적 유의성을 검정하였습니다.</w:t>
      </w:r>
    </w:p>
    <w:p>
      <w:pPr>
        <w:keepNext/>
        <w:spacing w:before="360" w:after="120"/>
      </w:pPr>
      <w:r>
        <w:rPr>
          <w:rFonts w:ascii="맑은 고딕" w:hAnsi="맑은 고딕"/>
          <w:b/>
          <w:color w:val="1F618D"/>
          <w:sz w:val="30"/>
        </w:rPr>
        <w:t>3. 전체 상관관계 분석 결과</w:t>
      </w:r>
    </w:p>
    <w:p>
      <w:pPr>
        <w:spacing w:after="120" w:line="276" w:lineRule="auto"/>
      </w:pPr>
      <w:r>
        <w:rPr>
          <w:rFonts w:ascii="맑은 고딕" w:hAnsi="맑은 고딕"/>
        </w:rPr>
        <w:t>17개 시도별 5개년 전체 데이터(성별, 연도, 지역)를 병합한 세부 변수 간 상관관계 분석 결과입니다.</w:t>
      </w:r>
    </w:p>
    <w:p>
      <w:pPr>
        <w:keepNext/>
        <w:spacing w:before="240" w:after="80"/>
      </w:pPr>
      <w:r>
        <w:rPr>
          <w:rFonts w:ascii="맑은 고딕" w:hAnsi="맑은 고딕"/>
          <w:b/>
          <w:color w:val="2E4053"/>
          <w:sz w:val="24"/>
        </w:rPr>
        <w:t>3.1 만족도 세부 항목별 상관계수 (시도별 데이터 기준)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DC3C7"/>
          <w:bottom w:val="single" w:sz="4" w:space="0" w:color="BDC3C7"/>
          <w:insideH w:val="single" w:sz="4" w:space="0" w:color="BDC3C7"/>
          <w:left w:val="none"/>
          <w:right w:val="none"/>
          <w:insideV w:val="none"/>
        </w:tblBorders>
      </w:tblPr>
      <w:tblGrid>
        <w:gridCol w:w="1170"/>
        <w:gridCol w:w="1170"/>
        <w:gridCol w:w="1170"/>
        <w:gridCol w:w="1170"/>
        <w:gridCol w:w="1170"/>
        <w:gridCol w:w="1170"/>
        <w:gridCol w:w="1170"/>
        <w:gridCol w:w="1170"/>
      </w:tblGrid>
      <w:tr>
        <w:tc>
          <w:tcPr>
            <w:tcW w:type="dxa" w:w="1170"/>
            <w:vAlign w:val="center"/>
            <w:shd w:val="clear" w:color="auto" w:fill="1B4F72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80" w:after="80"/>
              <w:jc w:val="center"/>
            </w:pPr>
            <w:r>
              <w:rPr>
                <w:rFonts w:ascii="맑은 고딕" w:hAnsi="맑은 고딕"/>
                <w:b/>
                <w:color w:val="FFFFFF"/>
                <w:sz w:val="19"/>
              </w:rPr>
              <w:t>분석 집단</w:t>
            </w:r>
          </w:p>
        </w:tc>
        <w:tc>
          <w:tcPr>
            <w:tcW w:type="dxa" w:w="1170"/>
            <w:vAlign w:val="center"/>
            <w:shd w:val="clear" w:color="auto" w:fill="1B4F72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80" w:after="80"/>
              <w:jc w:val="center"/>
            </w:pPr>
            <w:r>
              <w:rPr>
                <w:rFonts w:ascii="맑은 고딕" w:hAnsi="맑은 고딕"/>
                <w:b/>
                <w:color w:val="FFFFFF"/>
                <w:sz w:val="19"/>
              </w:rPr>
              <w:t>매우 만족</w:t>
            </w:r>
          </w:p>
        </w:tc>
        <w:tc>
          <w:tcPr>
            <w:tcW w:type="dxa" w:w="1170"/>
            <w:vAlign w:val="center"/>
            <w:shd w:val="clear" w:color="auto" w:fill="1B4F72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80" w:after="80"/>
              <w:jc w:val="center"/>
            </w:pPr>
            <w:r>
              <w:rPr>
                <w:rFonts w:ascii="맑은 고딕" w:hAnsi="맑은 고딕"/>
                <w:b/>
                <w:color w:val="FFFFFF"/>
                <w:sz w:val="19"/>
              </w:rPr>
              <w:t>약간 만족</w:t>
            </w:r>
          </w:p>
        </w:tc>
        <w:tc>
          <w:tcPr>
            <w:tcW w:type="dxa" w:w="1170"/>
            <w:vAlign w:val="center"/>
            <w:shd w:val="clear" w:color="auto" w:fill="1B4F72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80" w:after="80"/>
              <w:jc w:val="center"/>
            </w:pPr>
            <w:r>
              <w:rPr>
                <w:rFonts w:ascii="맑은 고딕" w:hAnsi="맑은 고딕"/>
                <w:b/>
                <w:color w:val="FFFFFF"/>
                <w:sz w:val="19"/>
              </w:rPr>
              <w:t>만족율</w:t>
            </w:r>
          </w:p>
        </w:tc>
        <w:tc>
          <w:tcPr>
            <w:tcW w:type="dxa" w:w="1170"/>
            <w:vAlign w:val="center"/>
            <w:shd w:val="clear" w:color="auto" w:fill="1B4F72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80" w:after="80"/>
              <w:jc w:val="center"/>
            </w:pPr>
            <w:r>
              <w:rPr>
                <w:rFonts w:ascii="맑은 고딕" w:hAnsi="맑은 고딕"/>
                <w:b/>
                <w:color w:val="FFFFFF"/>
                <w:sz w:val="19"/>
              </w:rPr>
              <w:t>보통</w:t>
            </w:r>
          </w:p>
        </w:tc>
        <w:tc>
          <w:tcPr>
            <w:tcW w:type="dxa" w:w="1170"/>
            <w:vAlign w:val="center"/>
            <w:shd w:val="clear" w:color="auto" w:fill="1B4F72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80" w:after="80"/>
              <w:jc w:val="center"/>
            </w:pPr>
            <w:r>
              <w:rPr>
                <w:rFonts w:ascii="맑은 고딕" w:hAnsi="맑은 고딕"/>
                <w:b/>
                <w:color w:val="FFFFFF"/>
                <w:sz w:val="19"/>
              </w:rPr>
              <w:t>약간 불만족</w:t>
            </w:r>
          </w:p>
        </w:tc>
        <w:tc>
          <w:tcPr>
            <w:tcW w:type="dxa" w:w="1170"/>
            <w:vAlign w:val="center"/>
            <w:shd w:val="clear" w:color="auto" w:fill="1B4F72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80" w:after="80"/>
              <w:jc w:val="center"/>
            </w:pPr>
            <w:r>
              <w:rPr>
                <w:rFonts w:ascii="맑은 고딕" w:hAnsi="맑은 고딕"/>
                <w:b/>
                <w:color w:val="FFFFFF"/>
                <w:sz w:val="19"/>
              </w:rPr>
              <w:t>매우 불만족</w:t>
            </w:r>
          </w:p>
        </w:tc>
        <w:tc>
          <w:tcPr>
            <w:tcW w:type="dxa" w:w="1170"/>
            <w:vAlign w:val="center"/>
            <w:shd w:val="clear" w:color="auto" w:fill="1B4F72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80" w:after="80"/>
              <w:jc w:val="center"/>
            </w:pPr>
            <w:r>
              <w:rPr>
                <w:rFonts w:ascii="맑은 고딕" w:hAnsi="맑은 고딕"/>
                <w:b/>
                <w:color w:val="FFFFFF"/>
                <w:sz w:val="19"/>
              </w:rPr>
              <w:t>불만족율</w:t>
            </w:r>
          </w:p>
        </w:tc>
      </w:tr>
      <w:tr>
        <w:tc>
          <w:tcPr>
            <w:tcW w:type="dxa" w:w="1170"/>
            <w:vAlign w:val="center"/>
            <w:shd w:val="clear" w:color="auto" w:fill="F2F4F4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80" w:after="80"/>
              <w:jc w:val="center"/>
            </w:pPr>
            <w:r>
              <w:rPr>
                <w:rFonts w:ascii="맑은 고딕" w:hAnsi="맑은 고딕"/>
                <w:b/>
                <w:sz w:val="19"/>
              </w:rPr>
              <w:t>전체 (계)</w:t>
            </w:r>
          </w:p>
        </w:tc>
        <w:tc>
          <w:tcPr>
            <w:tcW w:type="dxa" w:w="1170"/>
            <w:vAlign w:val="center"/>
            <w:shd w:val="clear" w:color="auto" w:fill="F2F4F4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80" w:after="80"/>
              <w:jc w:val="center"/>
            </w:pPr>
            <w:r>
              <w:rPr>
                <w:rFonts w:ascii="맑은 고딕" w:hAnsi="맑은 고딕"/>
                <w:sz w:val="19"/>
              </w:rPr>
              <w:t>-0.2228*</w:t>
            </w:r>
          </w:p>
        </w:tc>
        <w:tc>
          <w:tcPr>
            <w:tcW w:type="dxa" w:w="1170"/>
            <w:vAlign w:val="center"/>
            <w:shd w:val="clear" w:color="auto" w:fill="F2F4F4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80" w:after="80"/>
              <w:jc w:val="center"/>
            </w:pPr>
            <w:r>
              <w:rPr>
                <w:rFonts w:ascii="맑은 고딕" w:hAnsi="맑은 고딕"/>
                <w:sz w:val="19"/>
              </w:rPr>
              <w:t>-0.0921</w:t>
            </w:r>
          </w:p>
        </w:tc>
        <w:tc>
          <w:tcPr>
            <w:tcW w:type="dxa" w:w="1170"/>
            <w:vAlign w:val="center"/>
            <w:shd w:val="clear" w:color="auto" w:fill="F2F4F4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80" w:after="80"/>
              <w:jc w:val="center"/>
            </w:pPr>
            <w:r>
              <w:rPr>
                <w:rFonts w:ascii="맑은 고딕" w:hAnsi="맑은 고딕"/>
                <w:sz w:val="19"/>
              </w:rPr>
              <w:t>-0.1704</w:t>
            </w:r>
          </w:p>
        </w:tc>
        <w:tc>
          <w:tcPr>
            <w:tcW w:type="dxa" w:w="1170"/>
            <w:vAlign w:val="center"/>
            <w:shd w:val="clear" w:color="auto" w:fill="F2F4F4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80" w:after="80"/>
              <w:jc w:val="center"/>
            </w:pPr>
            <w:r>
              <w:rPr>
                <w:rFonts w:ascii="맑은 고딕" w:hAnsi="맑은 고딕"/>
                <w:sz w:val="19"/>
              </w:rPr>
              <w:t>0.4059***</w:t>
            </w:r>
          </w:p>
        </w:tc>
        <w:tc>
          <w:tcPr>
            <w:tcW w:type="dxa" w:w="1170"/>
            <w:vAlign w:val="center"/>
            <w:shd w:val="clear" w:color="auto" w:fill="F2F4F4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80" w:after="80"/>
              <w:jc w:val="center"/>
            </w:pPr>
            <w:r>
              <w:rPr>
                <w:rFonts w:ascii="맑은 고딕" w:hAnsi="맑은 고딕"/>
                <w:sz w:val="19"/>
              </w:rPr>
              <w:t>-0.1515</w:t>
            </w:r>
          </w:p>
        </w:tc>
        <w:tc>
          <w:tcPr>
            <w:tcW w:type="dxa" w:w="1170"/>
            <w:vAlign w:val="center"/>
            <w:shd w:val="clear" w:color="auto" w:fill="F2F4F4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80" w:after="80"/>
              <w:jc w:val="center"/>
            </w:pPr>
            <w:r>
              <w:rPr>
                <w:rFonts w:ascii="맑은 고딕" w:hAnsi="맑은 고딕"/>
                <w:sz w:val="19"/>
              </w:rPr>
              <w:t>-0.2259*</w:t>
            </w:r>
          </w:p>
        </w:tc>
        <w:tc>
          <w:tcPr>
            <w:tcW w:type="dxa" w:w="1170"/>
            <w:vAlign w:val="center"/>
            <w:shd w:val="clear" w:color="auto" w:fill="F2F4F4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80" w:after="80"/>
              <w:jc w:val="center"/>
            </w:pPr>
            <w:r>
              <w:rPr>
                <w:rFonts w:ascii="맑은 고딕" w:hAnsi="맑은 고딕"/>
                <w:sz w:val="19"/>
              </w:rPr>
              <w:t>-0.1767</w:t>
            </w:r>
          </w:p>
        </w:tc>
      </w:tr>
      <w:tr>
        <w:tc>
          <w:tcPr>
            <w:tcW w:type="dxa" w:w="1170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80" w:after="80"/>
              <w:jc w:val="center"/>
            </w:pPr>
            <w:r>
              <w:rPr>
                <w:rFonts w:ascii="맑은 고딕" w:hAnsi="맑은 고딕"/>
                <w:b/>
                <w:sz w:val="19"/>
              </w:rPr>
              <w:t>남성</w:t>
            </w:r>
          </w:p>
        </w:tc>
        <w:tc>
          <w:tcPr>
            <w:tcW w:type="dxa" w:w="1170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80" w:after="80"/>
              <w:jc w:val="center"/>
            </w:pPr>
            <w:r>
              <w:rPr>
                <w:rFonts w:ascii="맑은 고딕" w:hAnsi="맑은 고딕"/>
                <w:sz w:val="19"/>
              </w:rPr>
              <w:t>-0.2577*</w:t>
            </w:r>
          </w:p>
        </w:tc>
        <w:tc>
          <w:tcPr>
            <w:tcW w:type="dxa" w:w="1170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80" w:after="80"/>
              <w:jc w:val="center"/>
            </w:pPr>
            <w:r>
              <w:rPr>
                <w:rFonts w:ascii="맑은 고딕" w:hAnsi="맑은 고딕"/>
                <w:sz w:val="19"/>
              </w:rPr>
              <w:t>0.0249</w:t>
            </w:r>
          </w:p>
        </w:tc>
        <w:tc>
          <w:tcPr>
            <w:tcW w:type="dxa" w:w="1170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80" w:after="80"/>
              <w:jc w:val="center"/>
            </w:pPr>
            <w:r>
              <w:rPr>
                <w:rFonts w:ascii="맑은 고딕" w:hAnsi="맑은 고딕"/>
                <w:sz w:val="19"/>
              </w:rPr>
              <w:t>-0.1208</w:t>
            </w:r>
          </w:p>
        </w:tc>
        <w:tc>
          <w:tcPr>
            <w:tcW w:type="dxa" w:w="1170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80" w:after="80"/>
              <w:jc w:val="center"/>
            </w:pPr>
            <w:r>
              <w:rPr>
                <w:rFonts w:ascii="맑은 고딕" w:hAnsi="맑은 고딕"/>
                <w:sz w:val="19"/>
              </w:rPr>
              <w:t>0.3586***</w:t>
            </w:r>
          </w:p>
        </w:tc>
        <w:tc>
          <w:tcPr>
            <w:tcW w:type="dxa" w:w="1170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80" w:after="80"/>
              <w:jc w:val="center"/>
            </w:pPr>
            <w:r>
              <w:rPr>
                <w:rFonts w:ascii="맑은 고딕" w:hAnsi="맑은 고딕"/>
                <w:sz w:val="19"/>
              </w:rPr>
              <w:t>-0.1478</w:t>
            </w:r>
          </w:p>
        </w:tc>
        <w:tc>
          <w:tcPr>
            <w:tcW w:type="dxa" w:w="1170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80" w:after="80"/>
              <w:jc w:val="center"/>
            </w:pPr>
            <w:r>
              <w:rPr>
                <w:rFonts w:ascii="맑은 고딕" w:hAnsi="맑은 고딕"/>
                <w:sz w:val="19"/>
              </w:rPr>
              <w:t>-0.2252*</w:t>
            </w:r>
          </w:p>
        </w:tc>
        <w:tc>
          <w:tcPr>
            <w:tcW w:type="dxa" w:w="1170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80" w:after="80"/>
              <w:jc w:val="center"/>
            </w:pPr>
            <w:r>
              <w:rPr>
                <w:rFonts w:ascii="맑은 고딕" w:hAnsi="맑은 고딕"/>
                <w:sz w:val="19"/>
              </w:rPr>
              <w:t>-0.1765</w:t>
            </w:r>
          </w:p>
        </w:tc>
      </w:tr>
      <w:tr>
        <w:tc>
          <w:tcPr>
            <w:tcW w:type="dxa" w:w="1170"/>
            <w:vAlign w:val="center"/>
            <w:shd w:val="clear" w:color="auto" w:fill="F2F4F4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80" w:after="80"/>
              <w:jc w:val="center"/>
            </w:pPr>
            <w:r>
              <w:rPr>
                <w:rFonts w:ascii="맑은 고딕" w:hAnsi="맑은 고딕"/>
                <w:b/>
                <w:sz w:val="19"/>
              </w:rPr>
              <w:t>여성</w:t>
            </w:r>
          </w:p>
        </w:tc>
        <w:tc>
          <w:tcPr>
            <w:tcW w:type="dxa" w:w="1170"/>
            <w:vAlign w:val="center"/>
            <w:shd w:val="clear" w:color="auto" w:fill="F2F4F4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80" w:after="80"/>
              <w:jc w:val="center"/>
            </w:pPr>
            <w:r>
              <w:rPr>
                <w:rFonts w:ascii="맑은 고딕" w:hAnsi="맑은 고딕"/>
                <w:sz w:val="19"/>
              </w:rPr>
              <w:t>0.0422</w:t>
            </w:r>
          </w:p>
        </w:tc>
        <w:tc>
          <w:tcPr>
            <w:tcW w:type="dxa" w:w="1170"/>
            <w:vAlign w:val="center"/>
            <w:shd w:val="clear" w:color="auto" w:fill="F2F4F4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80" w:after="80"/>
              <w:jc w:val="center"/>
            </w:pPr>
            <w:r>
              <w:rPr>
                <w:rFonts w:ascii="맑은 고딕" w:hAnsi="맑은 고딕"/>
                <w:sz w:val="19"/>
              </w:rPr>
              <w:t>-0.0826</w:t>
            </w:r>
          </w:p>
        </w:tc>
        <w:tc>
          <w:tcPr>
            <w:tcW w:type="dxa" w:w="1170"/>
            <w:vAlign w:val="center"/>
            <w:shd w:val="clear" w:color="auto" w:fill="F2F4F4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80" w:after="80"/>
              <w:jc w:val="center"/>
            </w:pPr>
            <w:r>
              <w:rPr>
                <w:rFonts w:ascii="맑은 고딕" w:hAnsi="맑은 고딕"/>
                <w:sz w:val="19"/>
              </w:rPr>
              <w:t>-0.0422</w:t>
            </w:r>
          </w:p>
        </w:tc>
        <w:tc>
          <w:tcPr>
            <w:tcW w:type="dxa" w:w="1170"/>
            <w:vAlign w:val="center"/>
            <w:shd w:val="clear" w:color="auto" w:fill="F2F4F4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80" w:after="80"/>
              <w:jc w:val="center"/>
            </w:pPr>
            <w:r>
              <w:rPr>
                <w:rFonts w:ascii="맑은 고딕" w:hAnsi="맑은 고딕"/>
                <w:sz w:val="19"/>
              </w:rPr>
              <w:t>0.1142</w:t>
            </w:r>
          </w:p>
        </w:tc>
        <w:tc>
          <w:tcPr>
            <w:tcW w:type="dxa" w:w="1170"/>
            <w:vAlign w:val="center"/>
            <w:shd w:val="clear" w:color="auto" w:fill="F2F4F4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80" w:after="80"/>
              <w:jc w:val="center"/>
            </w:pPr>
            <w:r>
              <w:rPr>
                <w:rFonts w:ascii="맑은 고딕" w:hAnsi="맑은 고딕"/>
                <w:sz w:val="19"/>
              </w:rPr>
              <w:t>-0.0786</w:t>
            </w:r>
          </w:p>
        </w:tc>
        <w:tc>
          <w:tcPr>
            <w:tcW w:type="dxa" w:w="1170"/>
            <w:vAlign w:val="center"/>
            <w:shd w:val="clear" w:color="auto" w:fill="F2F4F4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80" w:after="80"/>
              <w:jc w:val="center"/>
            </w:pPr>
            <w:r>
              <w:rPr>
                <w:rFonts w:ascii="맑은 고딕" w:hAnsi="맑은 고딕"/>
                <w:sz w:val="19"/>
              </w:rPr>
              <w:t>-0.0094</w:t>
            </w:r>
          </w:p>
        </w:tc>
        <w:tc>
          <w:tcPr>
            <w:tcW w:type="dxa" w:w="1170"/>
            <w:vAlign w:val="center"/>
            <w:shd w:val="clear" w:color="auto" w:fill="F2F4F4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80" w:after="80"/>
              <w:jc w:val="center"/>
            </w:pPr>
            <w:r>
              <w:rPr>
                <w:rFonts w:ascii="맑은 고딕" w:hAnsi="맑은 고딕"/>
                <w:sz w:val="19"/>
              </w:rPr>
              <w:t>-0.0674</w:t>
            </w:r>
          </w:p>
        </w:tc>
      </w:tr>
    </w:tbl>
    <w:p>
      <w:pPr>
        <w:spacing w:after="120"/>
      </w:pPr>
    </w:p>
    <w:p>
      <w:pPr>
        <w:spacing w:after="120" w:line="276" w:lineRule="auto"/>
      </w:pPr>
      <w:r>
        <w:rPr>
          <w:rFonts w:ascii="맑은 고딕" w:hAnsi="맑은 고딕"/>
        </w:rPr>
        <w:t>*(주) 유의확률(p-value): *** p &lt; 0.001, ** p &lt; 0.01, * p &lt; 0.05, 없음(n.s.)은 유의미하지 않음</w:t>
      </w:r>
    </w:p>
    <w:p>
      <w:pPr>
        <w:keepNext/>
        <w:spacing w:before="240" w:after="80"/>
      </w:pPr>
      <w:r>
        <w:rPr>
          <w:rFonts w:ascii="맑은 고딕" w:hAnsi="맑은 고딕"/>
          <w:b/>
          <w:color w:val="2E4053"/>
          <w:sz w:val="24"/>
        </w:rPr>
        <w:t>3.2 주요 시사점</w:t>
      </w:r>
    </w:p>
    <w:p>
      <w:pPr>
        <w:pStyle w:val="ListBullet"/>
        <w:spacing w:after="80" w:line="276" w:lineRule="auto"/>
      </w:pPr>
      <w:r>
        <w:rPr>
          <w:rFonts w:ascii="맑은 고딕" w:hAnsi="맑은 고딕"/>
          <w:b/>
        </w:rPr>
        <w:t xml:space="preserve">보통(중간값)의 이례적인 양상: </w:t>
      </w:r>
      <w:r>
        <w:rPr>
          <w:rFonts w:ascii="맑은 고딕" w:hAnsi="맑은 고딕"/>
        </w:rPr>
        <w:t>삶의 만족도 질문에 '보통'이라고 응답한 비율은 자살률과 극히 유의미한 양(+)의 상관관계(r = 0.4059, p &lt; 0.001)를 보였습니다. 즉, 주민들의 감정 태도가 '보통'에 집중될수록 해당 지역의 자살률이 높아집니다.</w:t>
      </w:r>
    </w:p>
    <w:p>
      <w:pPr>
        <w:pStyle w:val="ListBullet"/>
        <w:spacing w:after="80" w:line="276" w:lineRule="auto"/>
      </w:pPr>
      <w:r>
        <w:rPr>
          <w:rFonts w:ascii="맑은 고딕" w:hAnsi="맑은 고딕"/>
          <w:b/>
        </w:rPr>
        <w:t xml:space="preserve">매우 만족과 매우 불만족의 동반 음의 상관관계: </w:t>
      </w:r>
      <w:r>
        <w:rPr>
          <w:rFonts w:ascii="맑은 고딕" w:hAnsi="맑은 고딕"/>
        </w:rPr>
        <w:t>'매우 만족' 비율이 높을수록 자살률이 낮아지는 음의 상관성(r = -0.2228, p &lt; 0.05)은 예상된 결과입니다. 그러나 '매우 불만족' 비율 역시 자살률과 약한 음의 상관관계(r = -0.2259, p &lt; 0.05)를 보이는 이례적인 결과가 나타났습니다.</w:t>
        <w:br/>
        <w:t>해석: 이는 불만족을 능동적·극단적으로 표출하는 인구 비중이 높은 지역보다, 삶에 대해 긍정하지도 부정하지도 않는 회의적·무기력한 '보통' 상태의 인구 비중이 높은 지역이 자살 예방의 관점에서 더 취약함을 시사합니다.</w:t>
      </w:r>
    </w:p>
    <w:p>
      <w:pPr>
        <w:keepNext/>
        <w:spacing w:before="240" w:after="80"/>
      </w:pPr>
      <w:r>
        <w:rPr>
          <w:rFonts w:ascii="맑은 고딕" w:hAnsi="맑은 고딕"/>
          <w:b/>
          <w:color w:val="2E4053"/>
          <w:sz w:val="24"/>
        </w:rPr>
        <w:t>3.3 상관관계 시각화 (히트맵 &amp; 산점도)</w:t>
      </w:r>
    </w:p>
    <w:p>
      <w:pPr>
        <w:spacing w:before="200" w:after="80"/>
        <w:jc w:val="center"/>
      </w:pPr>
      <w:r>
        <w:drawing>
          <wp:inline xmlns:a="http://schemas.openxmlformats.org/drawingml/2006/main" xmlns:pic="http://schemas.openxmlformats.org/drawingml/2006/picture">
            <wp:extent cx="4754880" cy="380390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eatmap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754880" cy="380390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80"/>
        <w:jc w:val="center"/>
      </w:pPr>
      <w:r>
        <w:rPr>
          <w:rFonts w:ascii="맑은 고딕" w:hAnsi="맑은 고딕"/>
          <w:i/>
          <w:color w:val="7F8C8D"/>
          <w:sz w:val="18"/>
        </w:rPr>
        <w:t>그림 1: 만족도 하위 항목 및 자살률 간의 상관관계 히트맵 (시도별 데이터)</w:t>
      </w:r>
    </w:p>
    <w:p>
      <w:pPr>
        <w:spacing w:before="200" w:after="80"/>
        <w:jc w:val="center"/>
      </w:pPr>
      <w:r>
        <w:drawing>
          <wp:inline xmlns:a="http://schemas.openxmlformats.org/drawingml/2006/main" xmlns:pic="http://schemas.openxmlformats.org/drawingml/2006/picture">
            <wp:extent cx="4754880" cy="356616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atter_overall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754880" cy="35661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80"/>
        <w:jc w:val="center"/>
      </w:pPr>
      <w:r>
        <w:rPr>
          <w:rFonts w:ascii="맑은 고딕" w:hAnsi="맑은 고딕"/>
          <w:i/>
          <w:color w:val="7F8C8D"/>
          <w:sz w:val="18"/>
        </w:rPr>
        <w:t>그림 2: 삶의 만족율과 자살률 산점도 및 추세선 (전체 성별, 17개 시도)</w:t>
      </w:r>
    </w:p>
    <w:p>
      <w:pPr>
        <w:keepNext/>
        <w:spacing w:before="360" w:after="120"/>
      </w:pPr>
      <w:r>
        <w:rPr>
          <w:rFonts w:ascii="맑은 고딕" w:hAnsi="맑은 고딕"/>
          <w:b/>
          <w:color w:val="1F618D"/>
          <w:sz w:val="30"/>
        </w:rPr>
        <w:t>4. 인구통계학적 특성별 분석</w:t>
      </w:r>
    </w:p>
    <w:p>
      <w:pPr>
        <w:keepNext/>
        <w:spacing w:before="240" w:after="80"/>
      </w:pPr>
      <w:r>
        <w:rPr>
          <w:rFonts w:ascii="맑은 고딕" w:hAnsi="맑은 고딕"/>
          <w:b/>
          <w:color w:val="2E4053"/>
          <w:sz w:val="24"/>
        </w:rPr>
        <w:t>4.1 성별 분석 (Gender Analysis)</w:t>
      </w:r>
    </w:p>
    <w:p>
      <w:pPr>
        <w:spacing w:after="120" w:line="276" w:lineRule="auto"/>
      </w:pPr>
      <w:r>
        <w:rPr>
          <w:rFonts w:ascii="맑은 고딕" w:hAnsi="맑은 고딕"/>
        </w:rPr>
        <w:t>남성과 여성의 삶의 만족율 및 자살률 데이터를 분리해 산점도를 도출한 결과, 성별 간 확연한 구조적 차이가 관찰됩니다.</w:t>
      </w:r>
    </w:p>
    <w:p>
      <w:pPr>
        <w:pStyle w:val="ListBullet"/>
        <w:spacing w:after="80" w:line="276" w:lineRule="auto"/>
      </w:pPr>
      <w:r>
        <w:rPr>
          <w:rFonts w:ascii="맑은 고딕" w:hAnsi="맑은 고딕"/>
          <w:b/>
        </w:rPr>
        <w:t xml:space="preserve">자살률의 절대적 격차: </w:t>
      </w:r>
      <w:r>
        <w:rPr>
          <w:rFonts w:ascii="맑은 고딕" w:hAnsi="맑은 고딕"/>
        </w:rPr>
        <w:t>동일한 지역과 연도 내에서 남성의 자살률(20~40대 중반 수준)은 여성(10~20대 수준)에 비해 압도적으로 높게 형성되어 있습니다.</w:t>
      </w:r>
    </w:p>
    <w:p>
      <w:pPr>
        <w:pStyle w:val="ListBullet"/>
        <w:spacing w:after="80" w:line="276" w:lineRule="auto"/>
      </w:pPr>
      <w:r>
        <w:rPr>
          <w:rFonts w:ascii="맑은 고딕" w:hAnsi="맑은 고딕"/>
          <w:b/>
        </w:rPr>
        <w:t xml:space="preserve">상관관계의 차이: </w:t>
      </w:r>
      <w:r>
        <w:rPr>
          <w:rFonts w:ascii="맑은 고딕" w:hAnsi="맑은 고딕"/>
        </w:rPr>
        <w:t>남성의 경우 삶의 만족 수준과 자살률 간의 상관성이 유의미하게 작동하지만, 여성의 경우 만족도 지표가 자살률 변화에 거의 영향을 미치지 않는 양상(r ≈ -0.04, n.s.)을 보였습니다. 이는 여성의 자살률은 삶의 만족도라는 단순 지표 외에 다른 복합적인 사회적·환경적 변수에 통제될 가능성이 큼을 의미합니다.</w:t>
      </w:r>
    </w:p>
    <w:p>
      <w:pPr>
        <w:spacing w:before="200" w:after="80"/>
        <w:jc w:val="center"/>
      </w:pPr>
      <w:r>
        <w:drawing>
          <wp:inline xmlns:a="http://schemas.openxmlformats.org/drawingml/2006/main" xmlns:pic="http://schemas.openxmlformats.org/drawingml/2006/picture">
            <wp:extent cx="4754880" cy="39624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atter_by_gender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754880" cy="3962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80"/>
        <w:jc w:val="center"/>
      </w:pPr>
      <w:r>
        <w:rPr>
          <w:rFonts w:ascii="맑은 고딕" w:hAnsi="맑은 고딕"/>
          <w:i/>
          <w:color w:val="7F8C8D"/>
          <w:sz w:val="18"/>
        </w:rPr>
        <w:t>그림 3: 성별 삶의 만족율과 자살률 산점도 및 추세선 (17개 시도)</w:t>
      </w:r>
    </w:p>
    <w:p>
      <w:pPr>
        <w:keepNext/>
        <w:spacing w:before="240" w:after="80"/>
      </w:pPr>
      <w:r>
        <w:rPr>
          <w:rFonts w:ascii="맑은 고딕" w:hAnsi="맑은 고딕"/>
          <w:b/>
          <w:color w:val="2E4053"/>
          <w:sz w:val="24"/>
        </w:rPr>
        <w:t>4.2 연도별 전국 변화 추이 (Yearly Trend Analysis)</w:t>
      </w:r>
    </w:p>
    <w:p>
      <w:pPr>
        <w:spacing w:after="120" w:line="276" w:lineRule="auto"/>
      </w:pPr>
      <w:r>
        <w:rPr>
          <w:rFonts w:ascii="맑은 고딕" w:hAnsi="맑은 고딕"/>
        </w:rPr>
        <w:t>2020년부터 2024년까지 전국 평균 데이터를 시계열적으로 추적한 결과입니다.</w:t>
      </w:r>
    </w:p>
    <w:p>
      <w:pPr>
        <w:pStyle w:val="ListBullet"/>
        <w:spacing w:after="80" w:line="276" w:lineRule="auto"/>
      </w:pPr>
      <w:r>
        <w:rPr>
          <w:rFonts w:ascii="맑은 고딕" w:hAnsi="맑은 고딕"/>
          <w:b/>
        </w:rPr>
        <w:t xml:space="preserve">역상관 관계 경향성: </w:t>
      </w:r>
      <w:r>
        <w:rPr>
          <w:rFonts w:ascii="맑은 고딕" w:hAnsi="맑은 고딕"/>
        </w:rPr>
        <w:t>2020년 코로나19 유행 첫해에는 자살률이 낮고 만족율이 상대적으로 높았으나, 이후 시계열이 흐를수록 만족율은 우하향하고 자살률은 점진적으로 우상향(2020년 25.7명 -&gt; 2024년 29.1명)하는 역방향 동조화 흐름이 뚜렷하게 관찰되었습니다.</w:t>
      </w:r>
    </w:p>
    <w:p>
      <w:pPr>
        <w:spacing w:before="200" w:after="80"/>
        <w:jc w:val="center"/>
      </w:pPr>
      <w:r>
        <w:drawing>
          <wp:inline xmlns:a="http://schemas.openxmlformats.org/drawingml/2006/main" xmlns:pic="http://schemas.openxmlformats.org/drawingml/2006/picture">
            <wp:extent cx="4754880" cy="29718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yearly_trends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754880" cy="2971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80"/>
        <w:jc w:val="center"/>
      </w:pPr>
      <w:r>
        <w:rPr>
          <w:rFonts w:ascii="맑은 고딕" w:hAnsi="맑은 고딕"/>
          <w:i/>
          <w:color w:val="7F8C8D"/>
          <w:sz w:val="18"/>
        </w:rPr>
        <w:t>그림 4: 연도별 전국 평균 삶의 만족율과 자살률 변화 추이 (2020-2024)</w:t>
      </w:r>
    </w:p>
    <w:p>
      <w:pPr>
        <w:keepNext/>
        <w:spacing w:before="360" w:after="120"/>
      </w:pPr>
      <w:r>
        <w:rPr>
          <w:rFonts w:ascii="맑은 고딕" w:hAnsi="맑은 고딕"/>
          <w:b/>
          <w:color w:val="1F618D"/>
          <w:sz w:val="30"/>
        </w:rPr>
        <w:t>5. 시도별 취약성 사분면 분석</w:t>
      </w:r>
    </w:p>
    <w:p>
      <w:pPr>
        <w:spacing w:after="120" w:line="276" w:lineRule="auto"/>
      </w:pPr>
      <w:r>
        <w:rPr>
          <w:rFonts w:ascii="맑은 고딕" w:hAnsi="맑은 고딕"/>
        </w:rPr>
        <w:t>17개 시도의 5개년 평균 삶의 만족율(전체 평균: 41.52%)과 평균 자살률(전체 평균: 28.06명)을 기준으로 사분면을 분류하여 지역별 특성을 진단하였습니다.</w:t>
      </w:r>
    </w:p>
    <w:p>
      <w:pPr>
        <w:spacing w:before="200" w:after="80"/>
        <w:jc w:val="center"/>
      </w:pPr>
      <w:r>
        <w:drawing>
          <wp:inline xmlns:a="http://schemas.openxmlformats.org/drawingml/2006/main" xmlns:pic="http://schemas.openxmlformats.org/drawingml/2006/picture">
            <wp:extent cx="4754880" cy="3803904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gional_quadrant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754880" cy="380390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80"/>
        <w:jc w:val="center"/>
      </w:pPr>
      <w:r>
        <w:rPr>
          <w:rFonts w:ascii="맑은 고딕" w:hAnsi="맑은 고딕"/>
          <w:i/>
          <w:color w:val="7F8C8D"/>
          <w:sz w:val="18"/>
        </w:rPr>
        <w:t>그림 5: 시도별 5개년 평균 삶의 만족율 및 자살률 분포 사분면 차트 (2020-2024)</w:t>
      </w:r>
    </w:p>
    <w:p>
      <w:pPr>
        <w:keepNext/>
        <w:spacing w:before="240" w:after="80"/>
      </w:pPr>
      <w:r>
        <w:rPr>
          <w:rFonts w:ascii="맑은 고딕" w:hAnsi="맑은 고딕"/>
          <w:b/>
          <w:color w:val="2E4053"/>
          <w:sz w:val="24"/>
        </w:rPr>
        <w:t>5.1 사분면별 시도 분포 및 특성</w:t>
      </w:r>
    </w:p>
    <w:p>
      <w:pPr>
        <w:pStyle w:val="ListBullet"/>
        <w:spacing w:after="80" w:line="276" w:lineRule="auto"/>
      </w:pPr>
      <w:r>
        <w:rPr>
          <w:rFonts w:ascii="맑은 고딕" w:hAnsi="맑은 고딕"/>
          <w:b/>
        </w:rPr>
        <w:t xml:space="preserve">1사분면 (대비군 / 만족도 높음, 자살률 높음): </w:t>
      </w:r>
      <w:r>
        <w:rPr>
          <w:rFonts w:ascii="맑은 고딕" w:hAnsi="맑은 고딕"/>
        </w:rPr>
        <w:t>충청남도(자살률 1위: 34.28명), 강원특별자치도(33.60명), 제주특별자치도(29.78명), 전북특별자치도(28.06명)</w:t>
        <w:br/>
        <w:t>특성: 주민들의 주관적 만족도는 평균보다 높으나 실제 자살률도 높은 불일치 지역입니다. 지역 내 복지 사각지대나 고령 인구 등 특정 취약 집단의 자살 위험이 평균 만족도 설문에 가려져 있을 위험이 큽니다.</w:t>
      </w:r>
    </w:p>
    <w:p>
      <w:pPr>
        <w:pStyle w:val="ListBullet"/>
        <w:spacing w:after="80" w:line="276" w:lineRule="auto"/>
      </w:pPr>
      <w:r>
        <w:rPr>
          <w:rFonts w:ascii="맑은 고딕" w:hAnsi="맑은 고딕"/>
          <w:b/>
        </w:rPr>
        <w:t xml:space="preserve">2사분면 (취약 지역 / 만족도 낮음, 자살률 높음): </w:t>
      </w:r>
      <w:r>
        <w:rPr>
          <w:rFonts w:ascii="맑은 고딕" w:hAnsi="맑은 고딕"/>
        </w:rPr>
        <w:t>충청북도(30.60명), 전라남도(29.80명), 경상북도(29.30명), 울산광역시(28.62명), 부산광역시(28.36명)</w:t>
        <w:br/>
        <w:t>특성: 삶의 만족율은 평균 이하이면서 자살률은 평균을 상회하는 '최우선 관리 대상 지역'입니다. 정신건강 증진 인프라 확대 및 선제적 자살 예방 정책 투입이 절실합니다.</w:t>
      </w:r>
    </w:p>
    <w:p>
      <w:pPr>
        <w:pStyle w:val="ListBullet"/>
        <w:spacing w:after="80" w:line="276" w:lineRule="auto"/>
      </w:pPr>
      <w:r>
        <w:rPr>
          <w:rFonts w:ascii="맑은 고딕" w:hAnsi="맑은 고딕"/>
          <w:b/>
        </w:rPr>
        <w:t xml:space="preserve">3사분면 (소극형 / 만족도 낮음, 자살률 낮음): </w:t>
      </w:r>
      <w:r>
        <w:rPr>
          <w:rFonts w:ascii="맑은 고딕" w:hAnsi="맑은 고딕"/>
        </w:rPr>
        <w:t>경기도(24.74명), 인천광역시(27.64명), 대구광역시(27.38명)</w:t>
        <w:br/>
        <w:t>특성: 주민들의 전반적인 만족도는 다소 낮으나 자살률은 비교적 낮게 통제되고 있는 지역입니다.</w:t>
      </w:r>
    </w:p>
    <w:p>
      <w:pPr>
        <w:pStyle w:val="ListBullet"/>
        <w:spacing w:after="80" w:line="276" w:lineRule="auto"/>
      </w:pPr>
      <w:r>
        <w:rPr>
          <w:rFonts w:ascii="맑은 고딕" w:hAnsi="맑은 고딕"/>
          <w:b/>
        </w:rPr>
        <w:t xml:space="preserve">4사분면 (선도 지역 / 만족도 높음, 자살률 낮음 - 이상적): </w:t>
      </w:r>
      <w:r>
        <w:rPr>
          <w:rFonts w:ascii="맑은 고딕" w:hAnsi="맑은 고딕"/>
        </w:rPr>
        <w:t>세종특별자치시(자살률 최저: 20.74명 / 만족율 최고: 50.74%), 서울특별시(22.80명), 광주광역시(26.24명), 경상남도(27.06명), 대전광역시(27.96명)</w:t>
        <w:br/>
        <w:t>특성: 만족도는 높고 자살률은 낮은 가장 안전하고 이상적인 지표를 보이는 지역들입니다. 특히 세종시는 신도시 특성상 비교적 낮은 연령층 분포와 높은 정주 만족도가 지표에 반영된 것으로 해석됩니다.</w:t>
      </w:r>
    </w:p>
    <w:p>
      <w:pPr>
        <w:keepNext/>
        <w:spacing w:before="360" w:after="120"/>
      </w:pPr>
      <w:r>
        <w:rPr>
          <w:rFonts w:ascii="맑은 고딕" w:hAnsi="맑은 고딕"/>
          <w:b/>
          <w:color w:val="1F618D"/>
          <w:sz w:val="30"/>
        </w:rPr>
        <w:t>6. 결론 및 정책적 제언</w:t>
      </w:r>
    </w:p>
    <w:p>
      <w:pPr>
        <w:spacing w:before="80" w:after="120" w:line="276" w:lineRule="auto"/>
      </w:pPr>
      <w:r>
        <w:rPr>
          <w:rFonts w:ascii="맑은 고딕" w:hAnsi="맑은 고딕"/>
          <w:b/>
          <w:color w:val="1F618D"/>
        </w:rPr>
        <w:t xml:space="preserve">1. </w:t>
      </w:r>
      <w:r>
        <w:rPr>
          <w:rFonts w:ascii="맑은 고딕" w:hAnsi="맑은 고딕"/>
          <w:b/>
        </w:rPr>
        <w:t xml:space="preserve">'보통' 응답군에 대한 정밀 스크리닝 필요: </w:t>
      </w:r>
      <w:r>
        <w:rPr>
          <w:rFonts w:ascii="맑은 고딕" w:hAnsi="맑은 고딕"/>
        </w:rPr>
        <w:t>본 분석을 통해 자살률과 가장 강하게 연관된 만족도 변수는 '불만족'이 아닌 '보통'이라는 회색 지대의 응답이었습니다. 정신건강 검진이나 사회 복지 조사 시 '보통이다', '그저 그렇다'라고 대답하는 무기력·무감각 상태의 고위험군을 조기에 발굴하고 관리하는 정교한 게이트키퍼 프로그램 설계가 필요합니다.</w:t>
      </w:r>
    </w:p>
    <w:p>
      <w:pPr>
        <w:spacing w:before="80" w:after="120" w:line="276" w:lineRule="auto"/>
      </w:pPr>
      <w:r>
        <w:rPr>
          <w:rFonts w:ascii="맑은 고딕" w:hAnsi="맑은 고딕"/>
          <w:b/>
          <w:color w:val="1F618D"/>
        </w:rPr>
        <w:t xml:space="preserve">2. </w:t>
      </w:r>
      <w:r>
        <w:rPr>
          <w:rFonts w:ascii="맑은 고딕" w:hAnsi="맑은 고딕"/>
          <w:b/>
        </w:rPr>
        <w:t xml:space="preserve">지역 맞춤형 자살 예방 전략 (2사분면 집중 조치): </w:t>
      </w:r>
      <w:r>
        <w:rPr>
          <w:rFonts w:ascii="맑은 고딕" w:hAnsi="맑은 고딕"/>
        </w:rPr>
        <w:t>충북, 전남, 경북, 울산, 부산 등 2사분면 취약 지역에 대해서는 지자체 차원의 예산 증액과 함께 밀착형 정신건강 서비스를 확대해야 합니다.</w:t>
      </w:r>
    </w:p>
    <w:p>
      <w:pPr>
        <w:spacing w:before="80" w:after="120" w:line="276" w:lineRule="auto"/>
      </w:pPr>
      <w:r>
        <w:rPr>
          <w:rFonts w:ascii="맑은 고딕" w:hAnsi="맑은 고딕"/>
          <w:b/>
          <w:color w:val="1F618D"/>
        </w:rPr>
        <w:t xml:space="preserve">3. </w:t>
      </w:r>
      <w:r>
        <w:rPr>
          <w:rFonts w:ascii="맑은 고딕" w:hAnsi="맑은 고딕"/>
          <w:b/>
        </w:rPr>
        <w:t xml:space="preserve">만족도-자살률 괴리 지역(1사분면)의 심층 조사: </w:t>
      </w:r>
      <w:r>
        <w:rPr>
          <w:rFonts w:ascii="맑은 고딕" w:hAnsi="맑은 고딕"/>
        </w:rPr>
        <w:t>충남, 강원과 같이 높은 삶의 만족도 뒤에 가려진 높은 자살률을 보이는 지역에 대해서는 구체적인 자살 원인(예: 독거노인 빈곤, 농약 관리 문제, 경제적 취약 계층의 상대적 박탈감 등)을 밝히기 위한 심층 실태조사가 병행되어야 합니다.</w:t>
      </w:r>
    </w:p>
    <w:p>
      <w:pPr>
        <w:spacing w:before="80" w:after="120" w:line="276" w:lineRule="auto"/>
      </w:pPr>
      <w:r>
        <w:rPr>
          <w:rFonts w:ascii="맑은 고딕" w:hAnsi="맑은 고딕"/>
          <w:b/>
          <w:color w:val="1F618D"/>
        </w:rPr>
        <w:t xml:space="preserve">4. </w:t>
      </w:r>
      <w:r>
        <w:rPr>
          <w:rFonts w:ascii="맑은 고딕" w:hAnsi="맑은 고딕"/>
          <w:b/>
        </w:rPr>
        <w:t xml:space="preserve">성별 타겟 정책의 차별화: </w:t>
      </w:r>
      <w:r>
        <w:rPr>
          <w:rFonts w:ascii="맑은 고딕" w:hAnsi="맑은 고딕"/>
        </w:rPr>
        <w:t>자살률이 압도적으로 높고 주관적 만족 지표와 밀접한 연관성을 보이는 남성 집단에 대해서는 사회적 고립을 방지하고 커뮤니티 소속감을 증진할 수 있는 프로그램을, 여성 집단에 대해서는 만족도 지표 외에 자살에 영향을 미치는 기타 요인(가사 부담, 고용 상태 등)을 발굴하여 대응하는 다각적 입체 조치가 요구됩니다.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/>
      <w:color w:val="2C3E5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