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sz w:val="36"/>
        </w:rPr>
        <w:t>SecureFlowAI: An Intelligent Data Leakage Prevention and Threat Mitigation System for Banking and Financial Workflows</w:t>
      </w:r>
    </w:p>
    <w:p>
      <w:pPr>
        <w:spacing w:after="400"/>
        <w:jc w:val="center"/>
      </w:pPr>
      <w:r>
        <w:rPr>
          <w:sz w:val="22"/>
        </w:rPr>
        <w:t>Submitted in partial fulfillment of the requirements of the degree</w:t>
        <w:br/>
      </w:r>
      <w:r>
        <w:rPr>
          <w:b/>
          <w:sz w:val="26"/>
        </w:rPr>
        <w:t>BACHELOR OF ENGINEERING</w:t>
        <w:br/>
        <w:t>IN</w:t>
        <w:br/>
        <w:t>COMPUTER ENGINEERING</w:t>
        <w:br/>
      </w:r>
    </w:p>
    <w:p>
      <w:pPr>
        <w:spacing w:before="320" w:after="400"/>
        <w:jc w:val="center"/>
      </w:pPr>
      <w:r>
        <w:rPr>
          <w:b/>
        </w:rPr>
        <w:t>By</w:t>
        <w:br/>
        <w:br/>
      </w:r>
    </w:p>
    <w:tbl>
      <w:tblPr>
        <w:tblW w:type="auto" w:w="0"/>
        <w:jc w:val="center"/>
        <w:tblLook w:firstColumn="1" w:firstRow="1" w:lastColumn="0" w:lastRow="0" w:noHBand="0" w:noVBand="1" w:val="04A0"/>
      </w:tblPr>
      <w:tblGrid>
        <w:gridCol w:w="4320"/>
        <w:gridCol w:w="4320"/>
      </w:tblGrid>
      <w:tr>
        <w:tc>
          <w:tcPr>
            <w:tcW w:type="dxa" w:w="4608"/>
          </w:tcPr>
          <w:p>
            <w:pPr>
              <w:jc w:val="left"/>
            </w:pPr>
            <w:r>
              <w:rPr>
                <w:sz w:val="22"/>
              </w:rPr>
              <w:t>Rushikesh (Vaibhav Kachare)</w:t>
            </w:r>
          </w:p>
        </w:tc>
        <w:tc>
          <w:tcPr>
            <w:tcW w:type="dxa" w:w="2592"/>
          </w:tcPr>
          <w:p>
            <w:pPr>
              <w:jc w:val="right"/>
            </w:pPr>
            <w:r>
              <w:rPr>
                <w:sz w:val="22"/>
              </w:rPr>
              <w:t>Roll No 1</w:t>
            </w:r>
          </w:p>
        </w:tc>
      </w:tr>
      <w:tr>
        <w:tc>
          <w:tcPr>
            <w:tcW w:type="dxa" w:w="4608"/>
          </w:tcPr>
          <w:p>
            <w:pPr>
              <w:jc w:val="left"/>
            </w:pPr>
            <w:r>
              <w:rPr>
                <w:sz w:val="22"/>
              </w:rPr>
              <w:t>Bhavya (Devdatta Temgire)</w:t>
            </w:r>
          </w:p>
        </w:tc>
        <w:tc>
          <w:tcPr>
            <w:tcW w:type="dxa" w:w="2592"/>
          </w:tcPr>
          <w:p>
            <w:pPr>
              <w:jc w:val="right"/>
            </w:pPr>
            <w:r>
              <w:rPr>
                <w:sz w:val="22"/>
              </w:rPr>
              <w:t>Roll No 2</w:t>
            </w:r>
          </w:p>
        </w:tc>
      </w:tr>
      <w:tr>
        <w:tc>
          <w:tcPr>
            <w:tcW w:type="dxa" w:w="4608"/>
          </w:tcPr>
          <w:p>
            <w:pPr>
              <w:jc w:val="left"/>
            </w:pPr>
            <w:r>
              <w:rPr>
                <w:sz w:val="22"/>
              </w:rPr>
              <w:t>Sushii (Dheeraj Shriyan)</w:t>
            </w:r>
          </w:p>
        </w:tc>
        <w:tc>
          <w:tcPr>
            <w:tcW w:type="dxa" w:w="2592"/>
          </w:tcPr>
          <w:p>
            <w:pPr>
              <w:jc w:val="right"/>
            </w:pPr>
            <w:r>
              <w:rPr>
                <w:sz w:val="22"/>
              </w:rPr>
              <w:t>Roll No 3</w:t>
            </w:r>
          </w:p>
        </w:tc>
      </w:tr>
      <w:tr>
        <w:tc>
          <w:tcPr>
            <w:tcW w:type="dxa" w:w="4608"/>
          </w:tcPr>
          <w:p>
            <w:pPr>
              <w:jc w:val="left"/>
            </w:pPr>
            <w:r>
              <w:rPr>
                <w:sz w:val="22"/>
              </w:rPr>
              <w:t>Bhoomi (Serin Kaushik)</w:t>
            </w:r>
          </w:p>
        </w:tc>
        <w:tc>
          <w:tcPr>
            <w:tcW w:type="dxa" w:w="2592"/>
          </w:tcPr>
          <w:p>
            <w:pPr>
              <w:jc w:val="right"/>
            </w:pPr>
            <w:r>
              <w:rPr>
                <w:sz w:val="22"/>
              </w:rPr>
              <w:t>Roll No 4</w:t>
            </w:r>
          </w:p>
        </w:tc>
      </w:tr>
    </w:tbl>
    <w:p>
      <w:pPr>
        <w:spacing w:before="480" w:after="320"/>
        <w:jc w:val="center"/>
      </w:pPr>
      <w:r>
        <w:rPr>
          <w:b/>
        </w:rPr>
        <w:t>Supervisor</w:t>
        <w:br/>
      </w:r>
      <w:r>
        <w:rPr>
          <w:sz w:val="24"/>
        </w:rPr>
        <w:t>Prof. / Dr. Guide Name</w:t>
        <w:br/>
      </w:r>
    </w:p>
    <w:p>
      <w:pPr>
        <w:spacing w:after="240"/>
        <w:jc w:val="center"/>
      </w:pPr>
      <w:r>
        <w:drawing>
          <wp:inline xmlns:a="http://schemas.openxmlformats.org/drawingml/2006/main" xmlns:pic="http://schemas.openxmlformats.org/drawingml/2006/picture">
            <wp:extent cx="2926080" cy="936346"/>
            <wp:docPr id="1" name="Picture 1"/>
            <wp:cNvGraphicFramePr>
              <a:graphicFrameLocks noChangeAspect="1"/>
            </wp:cNvGraphicFramePr>
            <a:graphic>
              <a:graphicData uri="http://schemas.openxmlformats.org/drawingml/2006/picture">
                <pic:pic>
                  <pic:nvPicPr>
                    <pic:cNvPr id="0" name="sies_logo.png"/>
                    <pic:cNvPicPr/>
                  </pic:nvPicPr>
                  <pic:blipFill>
                    <a:blip r:embed="rId9"/>
                    <a:stretch>
                      <a:fillRect/>
                    </a:stretch>
                  </pic:blipFill>
                  <pic:spPr>
                    <a:xfrm>
                      <a:off x="0" y="0"/>
                      <a:ext cx="2926080" cy="936346"/>
                    </a:xfrm>
                    <a:prstGeom prst="rect"/>
                  </pic:spPr>
                </pic:pic>
              </a:graphicData>
            </a:graphic>
          </wp:inline>
        </w:drawing>
      </w:r>
    </w:p>
    <w:p>
      <w:pPr>
        <w:spacing w:after="80"/>
        <w:jc w:val="center"/>
      </w:pPr>
      <w:r>
        <w:rPr>
          <w:b/>
          <w:sz w:val="26"/>
        </w:rPr>
        <w:t>Department of Computer Engineering</w:t>
        <w:br/>
        <w:t>SIES Graduate School of Technology (Autonomous)</w:t>
        <w:br/>
      </w:r>
      <w:r>
        <w:rPr>
          <w:sz w:val="22"/>
        </w:rPr>
        <w:t>Affiliated to University of Mumbai</w:t>
        <w:br/>
        <w:t>Nerul, Navi Mumbai – 400706</w:t>
        <w:br/>
        <w:t>A.Y. 2026–27</w:t>
        <w:br/>
      </w:r>
    </w:p>
    <w:p>
      <w:r>
        <w:br w:type="page"/>
      </w:r>
    </w:p>
    <w:p>
      <w:pPr>
        <w:spacing w:before="720" w:after="480"/>
        <w:jc w:val="center"/>
      </w:pPr>
      <w:r>
        <w:rPr>
          <w:b/>
          <w:sz w:val="32"/>
        </w:rPr>
        <w:t>CERTIFICATE</w:t>
      </w:r>
    </w:p>
    <w:p>
      <w:pPr>
        <w:spacing w:line="360" w:lineRule="auto" w:after="120"/>
        <w:jc w:val="both"/>
      </w:pPr>
      <w:r>
        <w:rPr>
          <w:rFonts w:ascii="Times New Roman" w:hAnsi="Times New Roman"/>
          <w:i w:val="0"/>
          <w:sz w:val="24"/>
        </w:rPr>
        <w:t>This is to certify that the project entitled “SecureFlowAI: An Intelligent Data Leakage Prevention and Threat Mitigation System for Banking and Financial Workflows” is a bonafide work of the following students, submitted to the SIES Graduate School of Technology in partial fulfillment of the requirement for the award of the degree of Bachelor of Engineering in Computer Engineering.</w:t>
      </w:r>
    </w:p>
    <w:tbl>
      <w:tblPr>
        <w:tblW w:type="auto" w:w="0"/>
        <w:jc w:val="center"/>
        <w:tblLook w:firstColumn="1" w:firstRow="1" w:lastColumn="0" w:lastRow="0" w:noHBand="0" w:noVBand="1" w:val="04A0"/>
      </w:tblPr>
      <w:tblGrid>
        <w:gridCol w:w="4320"/>
        <w:gridCol w:w="4320"/>
      </w:tblGrid>
      <w:tr>
        <w:tc>
          <w:tcPr>
            <w:tcW w:type="dxa" w:w="4320"/>
          </w:tcPr>
          <w:p>
            <w:r>
              <w:rPr>
                <w:sz w:val="22"/>
              </w:rPr>
              <w:t>Rushikesh (Vaibhav Kachare)</w:t>
            </w:r>
          </w:p>
        </w:tc>
        <w:tc>
          <w:tcPr>
            <w:tcW w:type="dxa" w:w="4320"/>
          </w:tcPr>
          <w:p>
            <w:pPr>
              <w:jc w:val="right"/>
            </w:pPr>
            <w:r>
              <w:rPr>
                <w:sz w:val="22"/>
              </w:rPr>
              <w:t>Roll No 1</w:t>
            </w:r>
          </w:p>
        </w:tc>
      </w:tr>
      <w:tr>
        <w:tc>
          <w:tcPr>
            <w:tcW w:type="dxa" w:w="4320"/>
          </w:tcPr>
          <w:p>
            <w:r>
              <w:rPr>
                <w:sz w:val="22"/>
              </w:rPr>
              <w:t>Bhavya (Devdatta Temgire)</w:t>
            </w:r>
          </w:p>
        </w:tc>
        <w:tc>
          <w:tcPr>
            <w:tcW w:type="dxa" w:w="4320"/>
          </w:tcPr>
          <w:p>
            <w:pPr>
              <w:jc w:val="right"/>
            </w:pPr>
            <w:r>
              <w:rPr>
                <w:sz w:val="22"/>
              </w:rPr>
              <w:t>Roll No 2</w:t>
            </w:r>
          </w:p>
        </w:tc>
      </w:tr>
      <w:tr>
        <w:tc>
          <w:tcPr>
            <w:tcW w:type="dxa" w:w="4320"/>
          </w:tcPr>
          <w:p>
            <w:r>
              <w:rPr>
                <w:sz w:val="22"/>
              </w:rPr>
              <w:t>Sushii (Dheeraj Shriyan)</w:t>
            </w:r>
          </w:p>
        </w:tc>
        <w:tc>
          <w:tcPr>
            <w:tcW w:type="dxa" w:w="4320"/>
          </w:tcPr>
          <w:p>
            <w:pPr>
              <w:jc w:val="right"/>
            </w:pPr>
            <w:r>
              <w:rPr>
                <w:sz w:val="22"/>
              </w:rPr>
              <w:t>Roll No 3</w:t>
            </w:r>
          </w:p>
        </w:tc>
      </w:tr>
      <w:tr>
        <w:tc>
          <w:tcPr>
            <w:tcW w:type="dxa" w:w="4320"/>
          </w:tcPr>
          <w:p>
            <w:r>
              <w:rPr>
                <w:sz w:val="22"/>
              </w:rPr>
              <w:t>Bhoomi (Serin Kaushik)</w:t>
            </w:r>
          </w:p>
        </w:tc>
        <w:tc>
          <w:tcPr>
            <w:tcW w:type="dxa" w:w="4320"/>
          </w:tcPr>
          <w:p>
            <w:pPr>
              <w:jc w:val="right"/>
            </w:pPr>
            <w:r>
              <w:rPr>
                <w:sz w:val="22"/>
              </w:rPr>
              <w:t>Roll No 4</w:t>
            </w:r>
          </w:p>
        </w:tc>
      </w:tr>
    </w:tbl>
    <w:p>
      <w:r>
        <w:br/>
        <w:br/>
      </w:r>
    </w:p>
    <w:tbl>
      <w:tblPr>
        <w:tblW w:type="auto" w:w="0"/>
        <w:jc w:val="center"/>
        <w:tblLook w:firstColumn="1" w:firstRow="1" w:lastColumn="0" w:lastRow="0" w:noHBand="0" w:noVBand="1" w:val="04A0"/>
      </w:tblPr>
      <w:tblGrid>
        <w:gridCol w:w="4320"/>
        <w:gridCol w:w="4320"/>
      </w:tblGrid>
      <w:tr>
        <w:tc>
          <w:tcPr>
            <w:tcW w:type="dxa" w:w="4320"/>
          </w:tcPr>
          <w:p>
            <w:r>
              <w:rPr>
                <w:b/>
              </w:rPr>
              <w:t>Guide Name</w:t>
              <w:br/>
              <w:t>Supervisor</w:t>
            </w:r>
          </w:p>
        </w:tc>
        <w:tc>
          <w:tcPr>
            <w:tcW w:type="dxa" w:w="4320"/>
          </w:tcPr>
          <w:p>
            <w:r>
              <w:rPr>
                <w:b/>
              </w:rPr>
              <w:t>Prof. Sunil K Punjabi</w:t>
              <w:br/>
              <w:t>Mini Project Coordinator</w:t>
            </w:r>
          </w:p>
        </w:tc>
      </w:tr>
      <w:tr>
        <w:tc>
          <w:tcPr>
            <w:tcW w:type="dxa" w:w="4320"/>
          </w:tcPr>
          <w:p>
            <w:r>
              <w:rPr>
                <w:b/>
              </w:rPr>
              <w:br/>
              <w:br/>
              <w:t>Dr. Aparna Bannore</w:t>
              <w:br/>
              <w:t>Head of Department</w:t>
            </w:r>
          </w:p>
        </w:tc>
        <w:tc>
          <w:tcPr>
            <w:tcW w:type="dxa" w:w="4320"/>
          </w:tcPr>
          <w:p>
            <w:r>
              <w:rPr>
                <w:b/>
              </w:rPr>
              <w:br/>
              <w:br/>
              <w:t>Dr. K. Lakshmisudha</w:t>
              <w:br/>
              <w:t>Principal</w:t>
            </w:r>
          </w:p>
        </w:tc>
      </w:tr>
    </w:tbl>
    <w:p>
      <w:pPr>
        <w:spacing w:before="720"/>
        <w:jc w:val="center"/>
      </w:pPr>
      <w:r>
        <w:rPr>
          <w:sz w:val="20"/>
        </w:rPr>
        <w:t>i</w:t>
      </w:r>
    </w:p>
    <w:p>
      <w:r>
        <w:br w:type="page"/>
      </w:r>
    </w:p>
    <w:p>
      <w:pPr>
        <w:spacing w:before="720" w:after="480"/>
        <w:jc w:val="center"/>
      </w:pPr>
      <w:r>
        <w:rPr>
          <w:b/>
          <w:sz w:val="32"/>
        </w:rPr>
        <w:t>PROJECT REPORT APPROVAL</w:t>
      </w:r>
    </w:p>
    <w:p>
      <w:pPr>
        <w:spacing w:line="360" w:lineRule="auto" w:after="120"/>
        <w:jc w:val="both"/>
      </w:pPr>
      <w:r>
        <w:rPr>
          <w:rFonts w:ascii="Times New Roman" w:hAnsi="Times New Roman"/>
          <w:i w:val="0"/>
          <w:sz w:val="24"/>
        </w:rPr>
        <w:t>This Mini Project entitled “SecureFlowAI: An Intelligent Data Leakage Prevention and Threat Mitigation System for Banking and Financial Workflows” by following students is approved for the degree of Bachelor of Engineering in Computer Engineering:</w:t>
      </w:r>
    </w:p>
    <w:tbl>
      <w:tblPr>
        <w:tblW w:type="auto" w:w="0"/>
        <w:jc w:val="center"/>
        <w:tblLook w:firstColumn="1" w:firstRow="1" w:lastColumn="0" w:lastRow="0" w:noHBand="0" w:noVBand="1" w:val="04A0"/>
      </w:tblPr>
      <w:tblGrid>
        <w:gridCol w:w="4320"/>
        <w:gridCol w:w="4320"/>
      </w:tblGrid>
      <w:tr>
        <w:tc>
          <w:tcPr>
            <w:tcW w:type="dxa" w:w="4320"/>
          </w:tcPr>
          <w:p>
            <w:r>
              <w:rPr>
                <w:sz w:val="22"/>
              </w:rPr>
              <w:t>Rushikesh (Vaibhav Kachare)</w:t>
            </w:r>
          </w:p>
        </w:tc>
        <w:tc>
          <w:tcPr>
            <w:tcW w:type="dxa" w:w="4320"/>
          </w:tcPr>
          <w:p>
            <w:pPr>
              <w:jc w:val="right"/>
            </w:pPr>
            <w:r>
              <w:rPr>
                <w:sz w:val="22"/>
              </w:rPr>
              <w:t>Roll No 1</w:t>
            </w:r>
          </w:p>
        </w:tc>
      </w:tr>
      <w:tr>
        <w:tc>
          <w:tcPr>
            <w:tcW w:type="dxa" w:w="4320"/>
          </w:tcPr>
          <w:p>
            <w:r>
              <w:rPr>
                <w:sz w:val="22"/>
              </w:rPr>
              <w:t>Bhavya (Devdatta Temgire)</w:t>
            </w:r>
          </w:p>
        </w:tc>
        <w:tc>
          <w:tcPr>
            <w:tcW w:type="dxa" w:w="4320"/>
          </w:tcPr>
          <w:p>
            <w:pPr>
              <w:jc w:val="right"/>
            </w:pPr>
            <w:r>
              <w:rPr>
                <w:sz w:val="22"/>
              </w:rPr>
              <w:t>Roll No 2</w:t>
            </w:r>
          </w:p>
        </w:tc>
      </w:tr>
      <w:tr>
        <w:tc>
          <w:tcPr>
            <w:tcW w:type="dxa" w:w="4320"/>
          </w:tcPr>
          <w:p>
            <w:r>
              <w:rPr>
                <w:sz w:val="22"/>
              </w:rPr>
              <w:t>Sushii (Dheeraj Shriyan)</w:t>
            </w:r>
          </w:p>
        </w:tc>
        <w:tc>
          <w:tcPr>
            <w:tcW w:type="dxa" w:w="4320"/>
          </w:tcPr>
          <w:p>
            <w:pPr>
              <w:jc w:val="right"/>
            </w:pPr>
            <w:r>
              <w:rPr>
                <w:sz w:val="22"/>
              </w:rPr>
              <w:t>Roll No 3</w:t>
            </w:r>
          </w:p>
        </w:tc>
      </w:tr>
      <w:tr>
        <w:tc>
          <w:tcPr>
            <w:tcW w:type="dxa" w:w="4320"/>
          </w:tcPr>
          <w:p>
            <w:r>
              <w:rPr>
                <w:sz w:val="22"/>
              </w:rPr>
              <w:t>Bhoomi (Serin Kaushik)</w:t>
            </w:r>
          </w:p>
        </w:tc>
        <w:tc>
          <w:tcPr>
            <w:tcW w:type="dxa" w:w="4320"/>
          </w:tcPr>
          <w:p>
            <w:pPr>
              <w:jc w:val="right"/>
            </w:pPr>
            <w:r>
              <w:rPr>
                <w:sz w:val="22"/>
              </w:rPr>
              <w:t>Roll No 4</w:t>
            </w:r>
          </w:p>
        </w:tc>
      </w:tr>
    </w:tbl>
    <w:p>
      <w:pPr>
        <w:spacing w:before="720" w:after="240"/>
        <w:jc w:val="center"/>
      </w:pPr>
      <w:r>
        <w:rPr>
          <w:b/>
        </w:rPr>
        <w:t>Examiners</w:t>
        <w:br/>
        <w:br/>
      </w:r>
    </w:p>
    <w:p>
      <w:pPr>
        <w:spacing w:line="360" w:lineRule="auto"/>
      </w:pPr>
      <w:r>
        <w:t>1. ................................................................................................</w:t>
        <w:br/>
        <w:t xml:space="preserve">    (Internal Examiner Name &amp; Sign)</w:t>
        <w:br/>
        <w:br/>
        <w:t>2. ................................................................................................</w:t>
        <w:br/>
        <w:t xml:space="preserve">    (External Examiner Name &amp; Sign)</w:t>
        <w:br/>
        <w:br/>
        <w:t>Date:</w:t>
        <w:br/>
        <w:t>Place: SIES GST, Nerul, Navi Mumbai.</w:t>
      </w:r>
    </w:p>
    <w:p>
      <w:pPr>
        <w:spacing w:before="720"/>
        <w:jc w:val="center"/>
      </w:pPr>
      <w:r>
        <w:rPr>
          <w:sz w:val="20"/>
        </w:rPr>
        <w:t>ii</w:t>
      </w:r>
    </w:p>
    <w:p>
      <w:r>
        <w:br w:type="page"/>
      </w:r>
    </w:p>
    <w:p>
      <w:pPr>
        <w:spacing w:before="720" w:after="480"/>
        <w:jc w:val="center"/>
      </w:pPr>
      <w:r>
        <w:rPr>
          <w:b/>
          <w:sz w:val="32"/>
        </w:rPr>
        <w:t>ACKNOWLEDGEMENT</w:t>
      </w:r>
    </w:p>
    <w:p>
      <w:pPr>
        <w:spacing w:line="360" w:lineRule="auto" w:after="120"/>
        <w:jc w:val="both"/>
      </w:pPr>
      <w:r>
        <w:rPr>
          <w:rFonts w:ascii="Times New Roman" w:hAnsi="Times New Roman"/>
          <w:i w:val="0"/>
          <w:sz w:val="24"/>
        </w:rPr>
        <w:t>We would like to express our thanks to the people who have helped us the most throughout our project. We are grateful to our guide (Name of the Guide) and coordinator, Prof. Sunil K Punjabi, for nonstop support, valuable advice, and continuous technical encouragement for the project.</w:t>
      </w:r>
    </w:p>
    <w:p>
      <w:pPr>
        <w:spacing w:line="360" w:lineRule="auto" w:after="120"/>
        <w:jc w:val="both"/>
      </w:pPr>
      <w:r>
        <w:rPr>
          <w:rFonts w:ascii="Times New Roman" w:hAnsi="Times New Roman"/>
          <w:i w:val="0"/>
          <w:sz w:val="24"/>
        </w:rPr>
        <w:t>A special thanks goes to each other who worked together as a team in completing the project, where we all exchanged our own interesting ideas and thoughts and made it possible to complete our project with all accurate information. We also wish to thank our parents for their personal support and attention, who inspired us to go our own way.</w:t>
      </w:r>
    </w:p>
    <w:p>
      <w:pPr>
        <w:spacing w:line="360" w:lineRule="auto" w:after="120"/>
        <w:jc w:val="both"/>
      </w:pPr>
      <w:r>
        <w:rPr>
          <w:rFonts w:ascii="Times New Roman" w:hAnsi="Times New Roman"/>
          <w:i w:val="0"/>
          <w:sz w:val="24"/>
        </w:rPr>
        <w:t>We would also like to extend our sincere gratitude to our Principal, Dr. K. Lakshmisudha, and our Head of the Department, Dr. Aparna Bannore, for their continuous support and encouragement.</w:t>
      </w:r>
    </w:p>
    <w:p>
      <w:pPr>
        <w:spacing w:line="360" w:lineRule="auto" w:after="120"/>
        <w:jc w:val="both"/>
      </w:pPr>
      <w:r>
        <w:rPr>
          <w:rFonts w:ascii="Times New Roman" w:hAnsi="Times New Roman"/>
          <w:i w:val="0"/>
          <w:sz w:val="24"/>
        </w:rPr>
        <w:t>We would also like to thank our other faculty members for providing us with all the required resources and references for the project.</w:t>
      </w:r>
    </w:p>
    <w:p>
      <w:pPr>
        <w:spacing w:before="480"/>
        <w:jc w:val="right"/>
      </w:pPr>
      <w:r>
        <w:rPr>
          <w:b/>
        </w:rPr>
        <w:t>Project Team</w:t>
        <w:br/>
        <w:t>Student 1 Name</w:t>
        <w:br/>
        <w:t>Student 2 Name</w:t>
        <w:br/>
        <w:t>Student 3 Name</w:t>
        <w:br/>
        <w:t>Student 4 Name</w:t>
      </w:r>
    </w:p>
    <w:p>
      <w:pPr>
        <w:spacing w:before="720"/>
        <w:jc w:val="center"/>
      </w:pPr>
      <w:r>
        <w:rPr>
          <w:sz w:val="20"/>
        </w:rPr>
        <w:t>iii</w:t>
      </w:r>
    </w:p>
    <w:p>
      <w:r>
        <w:br w:type="page"/>
      </w:r>
    </w:p>
    <w:p>
      <w:pPr>
        <w:spacing w:before="720" w:after="480"/>
        <w:jc w:val="center"/>
      </w:pPr>
      <w:r>
        <w:rPr>
          <w:b/>
          <w:sz w:val="32"/>
        </w:rPr>
        <w:t>ABSTRACT</w:t>
      </w:r>
    </w:p>
    <w:p>
      <w:pPr>
        <w:spacing w:line="360" w:lineRule="auto" w:after="120"/>
        <w:jc w:val="both"/>
      </w:pPr>
      <w:r>
        <w:rPr>
          <w:rFonts w:ascii="Times New Roman" w:hAnsi="Times New Roman"/>
          <w:i w:val="0"/>
          <w:sz w:val="24"/>
        </w:rPr>
        <w:t>Traditional Data Leakage Prevention (DLP) systems deployed in banking environments rely heavily on rigid regular expressions and keyword matching. These solutions suffer from context blindness, generate excessive false alarms on harmless numbers such as invoice codes or timestamps, and fail to prevent unauthorized data exfiltration embedded inside scanned documents and non-text formats. SecureFlowAI addresses these critical challenges by establishing an intelligent, privacy-preserving DLP platform engineered specifically for financial institutions.</w:t>
      </w:r>
    </w:p>
    <w:p>
      <w:pPr>
        <w:spacing w:line="360" w:lineRule="auto" w:after="120"/>
        <w:jc w:val="both"/>
      </w:pPr>
      <w:r>
        <w:rPr>
          <w:rFonts w:ascii="Times New Roman" w:hAnsi="Times New Roman"/>
          <w:i w:val="0"/>
          <w:sz w:val="24"/>
        </w:rPr>
        <w:t>The system monitors and intercepts outbound data across multiple operational touchpoints, including browser paste events, file uploads, and desktop clipboard buffers. It unites high-precision deterministic checksums (such as Luhn algorithm validation for credit card numbers and ISO 7064 MOD-97 checks for IBANs) with a quantized encoder Transformer model (MiniLM-L6-v2) for contextual semantic classification across three sensitivity tiers: Safe, Confidential, and Restricted. Non-selectable text inside scanned KYC documents, checks, and screenshots is parsed in real time via an integrated in-memory Optical Character Recognition (OCR) engine.</w:t>
      </w:r>
    </w:p>
    <w:p>
      <w:pPr>
        <w:spacing w:line="360" w:lineRule="auto" w:after="120"/>
        <w:jc w:val="both"/>
      </w:pPr>
      <w:r>
        <w:rPr>
          <w:rFonts w:ascii="Times New Roman" w:hAnsi="Times New Roman"/>
          <w:i w:val="0"/>
          <w:sz w:val="24"/>
        </w:rPr>
        <w:t>Rather than executing rigid block-all actions, SecureFlowAI computes a multi-factor dynamic risk score (0 to 100) based on content classification, entity density, and destination domain. Based on this risk score, the platform automatically permits safe business transfers, applies format-preserving reverse-offset masking or AES-256-GCM envelope encryption for moderate risks, and halts high-risk exfiltration attempts before data leaves the enterprise boundary. Evaluated on comprehensive benchmark corporate and banking corpora, SecureFlowAI achieves an overall F1-score of 97.2%, a detection recall of 99.4% on restricted financial records, and sub-15ms CPU inference latency, satisfying strict banking service-level agreements with zero cloud data egress.</w:t>
      </w:r>
    </w:p>
    <w:p>
      <w:pPr>
        <w:spacing w:before="240"/>
      </w:pPr>
      <w:r>
        <w:rPr>
          <w:b/>
        </w:rPr>
        <w:t xml:space="preserve">Keywords: </w:t>
      </w:r>
      <w:r>
        <w:t>Data Leakage Prevention, Banking Security, Transformer Models, Regular Expression Checksums, AES-256 Encryption, OCR, Incident Triage, SOC Governance.</w:t>
      </w:r>
    </w:p>
    <w:p>
      <w:pPr>
        <w:spacing w:before="720"/>
        <w:jc w:val="center"/>
      </w:pPr>
      <w:r>
        <w:rPr>
          <w:sz w:val="20"/>
        </w:rPr>
        <w:t>1</w:t>
      </w:r>
    </w:p>
    <w:p>
      <w:r>
        <w:br w:type="page"/>
      </w:r>
    </w:p>
    <w:p>
      <w:pPr>
        <w:spacing w:before="480" w:after="360"/>
      </w:pPr>
      <w:r>
        <w:rPr>
          <w:b/>
          <w:sz w:val="32"/>
        </w:rPr>
        <w:t>Contents</w:t>
      </w:r>
    </w:p>
    <w:tbl>
      <w:tblPr>
        <w:tblW w:type="auto" w:w="0"/>
        <w:jc w:val="center"/>
        <w:tblLook w:firstColumn="1" w:firstRow="1" w:lastColumn="0" w:lastRow="0" w:noHBand="0" w:noVBand="1" w:val="04A0"/>
      </w:tblPr>
      <w:tblGrid>
        <w:gridCol w:w="4320"/>
        <w:gridCol w:w="4320"/>
      </w:tblGrid>
      <w:tr>
        <w:tc>
          <w:tcPr>
            <w:tcW w:type="dxa" w:w="7488"/>
          </w:tcPr>
          <w:p>
            <w:pPr>
              <w:spacing w:after="40" w:line="276" w:lineRule="auto"/>
            </w:pPr>
            <w:r>
              <w:rPr>
                <w:b/>
              </w:rPr>
              <w:t>ACKNOWLEDGEMENT</w:t>
            </w:r>
          </w:p>
        </w:tc>
        <w:tc>
          <w:tcPr>
            <w:tcW w:type="dxa" w:w="1152"/>
          </w:tcPr>
          <w:p>
            <w:pPr>
              <w:spacing w:after="40" w:line="276" w:lineRule="auto"/>
              <w:jc w:val="right"/>
            </w:pPr>
            <w:r>
              <w:rPr>
                <w:b/>
              </w:rPr>
              <w:t>iii</w:t>
            </w:r>
          </w:p>
        </w:tc>
      </w:tr>
      <w:tr>
        <w:tc>
          <w:tcPr>
            <w:tcW w:type="dxa" w:w="7488"/>
          </w:tcPr>
          <w:p>
            <w:pPr>
              <w:spacing w:after="40" w:line="276" w:lineRule="auto"/>
            </w:pPr>
            <w:r>
              <w:rPr>
                <w:b/>
              </w:rPr>
              <w:t>ABSTRACT</w:t>
            </w:r>
          </w:p>
        </w:tc>
        <w:tc>
          <w:tcPr>
            <w:tcW w:type="dxa" w:w="1152"/>
          </w:tcPr>
          <w:p>
            <w:pPr>
              <w:spacing w:after="40" w:line="276" w:lineRule="auto"/>
              <w:jc w:val="right"/>
            </w:pPr>
            <w:r>
              <w:rPr>
                <w:b/>
              </w:rPr>
              <w:t>1</w:t>
            </w:r>
          </w:p>
        </w:tc>
      </w:tr>
      <w:tr>
        <w:tc>
          <w:tcPr>
            <w:tcW w:type="dxa" w:w="7488"/>
          </w:tcPr>
          <w:p>
            <w:pPr>
              <w:spacing w:after="40" w:line="276" w:lineRule="auto"/>
            </w:pPr>
            <w:r>
              <w:rPr>
                <w:b/>
              </w:rPr>
              <w:t>List of Figures</w:t>
            </w:r>
          </w:p>
        </w:tc>
        <w:tc>
          <w:tcPr>
            <w:tcW w:type="dxa" w:w="1152"/>
          </w:tcPr>
          <w:p>
            <w:pPr>
              <w:spacing w:after="40" w:line="276" w:lineRule="auto"/>
              <w:jc w:val="right"/>
            </w:pPr>
            <w:r>
              <w:rPr>
                <w:b/>
              </w:rPr>
              <w:t>5</w:t>
            </w:r>
          </w:p>
        </w:tc>
      </w:tr>
      <w:tr>
        <w:tc>
          <w:tcPr>
            <w:tcW w:type="dxa" w:w="7488"/>
          </w:tcPr>
          <w:p>
            <w:pPr>
              <w:spacing w:after="40" w:line="276" w:lineRule="auto"/>
            </w:pPr>
            <w:r>
              <w:rPr>
                <w:b/>
              </w:rPr>
              <w:t>List of Tables</w:t>
            </w:r>
          </w:p>
        </w:tc>
        <w:tc>
          <w:tcPr>
            <w:tcW w:type="dxa" w:w="1152"/>
          </w:tcPr>
          <w:p>
            <w:pPr>
              <w:spacing w:after="40" w:line="276" w:lineRule="auto"/>
              <w:jc w:val="right"/>
            </w:pPr>
            <w:r>
              <w:rPr>
                <w:b/>
              </w:rPr>
              <w:t>6</w:t>
            </w:r>
          </w:p>
        </w:tc>
      </w:tr>
      <w:tr>
        <w:tc>
          <w:tcPr>
            <w:tcW w:type="dxa" w:w="7488"/>
          </w:tcPr>
          <w:p>
            <w:pPr>
              <w:spacing w:after="40" w:line="276" w:lineRule="auto"/>
            </w:pPr>
            <w:r>
              <w:rPr>
                <w:b/>
              </w:rPr>
              <w:t>List of Abbreviations</w:t>
            </w:r>
          </w:p>
        </w:tc>
        <w:tc>
          <w:tcPr>
            <w:tcW w:type="dxa" w:w="1152"/>
          </w:tcPr>
          <w:p>
            <w:pPr>
              <w:spacing w:after="40" w:line="276" w:lineRule="auto"/>
              <w:jc w:val="right"/>
            </w:pPr>
            <w:r>
              <w:rPr>
                <w:b/>
              </w:rPr>
              <w:t>7</w:t>
            </w:r>
          </w:p>
        </w:tc>
      </w:tr>
      <w:tr>
        <w:tc>
          <w:tcPr>
            <w:tcW w:type="dxa" w:w="7488"/>
          </w:tcPr>
          <w:p>
            <w:pPr>
              <w:spacing w:after="40" w:line="276" w:lineRule="auto"/>
            </w:pPr>
            <w:r>
              <w:rPr>
                <w:b/>
              </w:rPr>
              <w:t>1   Introduction</w:t>
            </w:r>
          </w:p>
        </w:tc>
        <w:tc>
          <w:tcPr>
            <w:tcW w:type="dxa" w:w="1152"/>
          </w:tcPr>
          <w:p>
            <w:pPr>
              <w:spacing w:after="40" w:line="276" w:lineRule="auto"/>
              <w:jc w:val="right"/>
            </w:pPr>
            <w:r>
              <w:rPr>
                <w:b/>
              </w:rPr>
              <w:t>8</w:t>
            </w:r>
          </w:p>
        </w:tc>
      </w:tr>
      <w:tr>
        <w:tc>
          <w:tcPr>
            <w:tcW w:type="dxa" w:w="7488"/>
          </w:tcPr>
          <w:p>
            <w:pPr>
              <w:spacing w:after="40" w:line="276" w:lineRule="auto"/>
            </w:pPr>
            <w:r>
              <w:t xml:space="preserve">    1.1   Overview</w:t>
            </w:r>
          </w:p>
        </w:tc>
        <w:tc>
          <w:tcPr>
            <w:tcW w:type="dxa" w:w="1152"/>
          </w:tcPr>
          <w:p>
            <w:pPr>
              <w:spacing w:after="40" w:line="276" w:lineRule="auto"/>
              <w:jc w:val="right"/>
            </w:pPr>
            <w:r>
              <w:t>8</w:t>
            </w:r>
          </w:p>
        </w:tc>
      </w:tr>
      <w:tr>
        <w:tc>
          <w:tcPr>
            <w:tcW w:type="dxa" w:w="7488"/>
          </w:tcPr>
          <w:p>
            <w:pPr>
              <w:spacing w:after="40" w:line="276" w:lineRule="auto"/>
            </w:pPr>
            <w:r>
              <w:t xml:space="preserve">    1.2   Motivation</w:t>
            </w:r>
          </w:p>
        </w:tc>
        <w:tc>
          <w:tcPr>
            <w:tcW w:type="dxa" w:w="1152"/>
          </w:tcPr>
          <w:p>
            <w:pPr>
              <w:spacing w:after="40" w:line="276" w:lineRule="auto"/>
              <w:jc w:val="right"/>
            </w:pPr>
            <w:r>
              <w:t>8</w:t>
            </w:r>
          </w:p>
        </w:tc>
      </w:tr>
      <w:tr>
        <w:tc>
          <w:tcPr>
            <w:tcW w:type="dxa" w:w="7488"/>
          </w:tcPr>
          <w:p>
            <w:pPr>
              <w:spacing w:after="40" w:line="276" w:lineRule="auto"/>
            </w:pPr>
            <w:r>
              <w:t xml:space="preserve">    1.3   Problem Statement and Objectives</w:t>
            </w:r>
          </w:p>
        </w:tc>
        <w:tc>
          <w:tcPr>
            <w:tcW w:type="dxa" w:w="1152"/>
          </w:tcPr>
          <w:p>
            <w:pPr>
              <w:spacing w:after="40" w:line="276" w:lineRule="auto"/>
              <w:jc w:val="right"/>
            </w:pPr>
            <w:r>
              <w:t>8</w:t>
            </w:r>
          </w:p>
        </w:tc>
      </w:tr>
      <w:tr>
        <w:tc>
          <w:tcPr>
            <w:tcW w:type="dxa" w:w="7488"/>
          </w:tcPr>
          <w:p>
            <w:pPr>
              <w:spacing w:after="40" w:line="276" w:lineRule="auto"/>
            </w:pPr>
            <w:r>
              <w:t xml:space="preserve">          1.3.1   Problem Statement:</w:t>
            </w:r>
          </w:p>
        </w:tc>
        <w:tc>
          <w:tcPr>
            <w:tcW w:type="dxa" w:w="1152"/>
          </w:tcPr>
          <w:p>
            <w:pPr>
              <w:spacing w:after="40" w:line="276" w:lineRule="auto"/>
              <w:jc w:val="right"/>
            </w:pPr>
            <w:r>
              <w:t>8</w:t>
            </w:r>
          </w:p>
        </w:tc>
      </w:tr>
      <w:tr>
        <w:tc>
          <w:tcPr>
            <w:tcW w:type="dxa" w:w="7488"/>
          </w:tcPr>
          <w:p>
            <w:pPr>
              <w:spacing w:after="40" w:line="276" w:lineRule="auto"/>
            </w:pPr>
            <w:r>
              <w:t xml:space="preserve">          1.3.2   Objectives:</w:t>
            </w:r>
          </w:p>
        </w:tc>
        <w:tc>
          <w:tcPr>
            <w:tcW w:type="dxa" w:w="1152"/>
          </w:tcPr>
          <w:p>
            <w:pPr>
              <w:spacing w:after="40" w:line="276" w:lineRule="auto"/>
              <w:jc w:val="right"/>
            </w:pPr>
            <w:r>
              <w:t>8</w:t>
            </w:r>
          </w:p>
        </w:tc>
      </w:tr>
      <w:tr>
        <w:tc>
          <w:tcPr>
            <w:tcW w:type="dxa" w:w="7488"/>
          </w:tcPr>
          <w:p>
            <w:pPr>
              <w:spacing w:after="40" w:line="276" w:lineRule="auto"/>
            </w:pPr>
            <w:r>
              <w:t xml:space="preserve">    1.4   Scope</w:t>
            </w:r>
          </w:p>
        </w:tc>
        <w:tc>
          <w:tcPr>
            <w:tcW w:type="dxa" w:w="1152"/>
          </w:tcPr>
          <w:p>
            <w:pPr>
              <w:spacing w:after="40" w:line="276" w:lineRule="auto"/>
              <w:jc w:val="right"/>
            </w:pPr>
            <w:r>
              <w:t>8</w:t>
            </w:r>
          </w:p>
        </w:tc>
      </w:tr>
      <w:tr>
        <w:tc>
          <w:tcPr>
            <w:tcW w:type="dxa" w:w="7488"/>
          </w:tcPr>
          <w:p>
            <w:pPr>
              <w:spacing w:after="40" w:line="276" w:lineRule="auto"/>
            </w:pPr>
            <w:r>
              <w:t xml:space="preserve">    1.5   Organization of the Report</w:t>
            </w:r>
          </w:p>
        </w:tc>
        <w:tc>
          <w:tcPr>
            <w:tcW w:type="dxa" w:w="1152"/>
          </w:tcPr>
          <w:p>
            <w:pPr>
              <w:spacing w:after="40" w:line="276" w:lineRule="auto"/>
              <w:jc w:val="right"/>
            </w:pPr>
            <w:r>
              <w:t>9</w:t>
            </w:r>
          </w:p>
        </w:tc>
      </w:tr>
      <w:tr>
        <w:tc>
          <w:tcPr>
            <w:tcW w:type="dxa" w:w="7488"/>
          </w:tcPr>
          <w:p>
            <w:pPr>
              <w:spacing w:after="40" w:line="276" w:lineRule="auto"/>
            </w:pPr>
            <w:r>
              <w:rPr>
                <w:b/>
              </w:rPr>
              <w:t>2   Literature Survey</w:t>
            </w:r>
          </w:p>
        </w:tc>
        <w:tc>
          <w:tcPr>
            <w:tcW w:type="dxa" w:w="1152"/>
          </w:tcPr>
          <w:p>
            <w:pPr>
              <w:spacing w:after="40" w:line="276" w:lineRule="auto"/>
              <w:jc w:val="right"/>
            </w:pPr>
            <w:r>
              <w:rPr>
                <w:b/>
              </w:rPr>
              <w:t>10</w:t>
            </w:r>
          </w:p>
        </w:tc>
      </w:tr>
      <w:tr>
        <w:tc>
          <w:tcPr>
            <w:tcW w:type="dxa" w:w="7488"/>
          </w:tcPr>
          <w:p>
            <w:pPr>
              <w:spacing w:after="40" w:line="276" w:lineRule="auto"/>
            </w:pPr>
            <w:r>
              <w:t xml:space="preserve">    2.1   Survey of Existing System</w:t>
            </w:r>
          </w:p>
        </w:tc>
        <w:tc>
          <w:tcPr>
            <w:tcW w:type="dxa" w:w="1152"/>
          </w:tcPr>
          <w:p>
            <w:pPr>
              <w:spacing w:after="40" w:line="276" w:lineRule="auto"/>
              <w:jc w:val="right"/>
            </w:pPr>
            <w:r>
              <w:t>10</w:t>
            </w:r>
          </w:p>
        </w:tc>
      </w:tr>
      <w:tr>
        <w:tc>
          <w:tcPr>
            <w:tcW w:type="dxa" w:w="7488"/>
          </w:tcPr>
          <w:p>
            <w:pPr>
              <w:spacing w:after="40" w:line="276" w:lineRule="auto"/>
            </w:pPr>
            <w:r>
              <w:t xml:space="preserve">          2.1.1   Comparative Analysis of Existing Systems</w:t>
            </w:r>
          </w:p>
        </w:tc>
        <w:tc>
          <w:tcPr>
            <w:tcW w:type="dxa" w:w="1152"/>
          </w:tcPr>
          <w:p>
            <w:pPr>
              <w:spacing w:after="40" w:line="276" w:lineRule="auto"/>
              <w:jc w:val="right"/>
            </w:pPr>
            <w:r>
              <w:t>10</w:t>
            </w:r>
          </w:p>
        </w:tc>
      </w:tr>
      <w:tr>
        <w:tc>
          <w:tcPr>
            <w:tcW w:type="dxa" w:w="7488"/>
          </w:tcPr>
          <w:p>
            <w:pPr>
              <w:spacing w:after="40" w:line="276" w:lineRule="auto"/>
            </w:pPr>
            <w:r>
              <w:t xml:space="preserve">    2.2   Limitations of Existing System</w:t>
            </w:r>
          </w:p>
        </w:tc>
        <w:tc>
          <w:tcPr>
            <w:tcW w:type="dxa" w:w="1152"/>
          </w:tcPr>
          <w:p>
            <w:pPr>
              <w:spacing w:after="40" w:line="276" w:lineRule="auto"/>
              <w:jc w:val="right"/>
            </w:pPr>
            <w:r>
              <w:t>11</w:t>
            </w:r>
          </w:p>
        </w:tc>
      </w:tr>
      <w:tr>
        <w:tc>
          <w:tcPr>
            <w:tcW w:type="dxa" w:w="7488"/>
          </w:tcPr>
          <w:p>
            <w:pPr>
              <w:spacing w:after="40" w:line="276" w:lineRule="auto"/>
            </w:pPr>
            <w:r>
              <w:rPr>
                <w:b/>
              </w:rPr>
              <w:t>3   Proposed System</w:t>
            </w:r>
          </w:p>
        </w:tc>
        <w:tc>
          <w:tcPr>
            <w:tcW w:type="dxa" w:w="1152"/>
          </w:tcPr>
          <w:p>
            <w:pPr>
              <w:spacing w:after="40" w:line="276" w:lineRule="auto"/>
              <w:jc w:val="right"/>
            </w:pPr>
            <w:r>
              <w:rPr>
                <w:b/>
              </w:rPr>
              <w:t>13</w:t>
            </w:r>
          </w:p>
        </w:tc>
      </w:tr>
      <w:tr>
        <w:tc>
          <w:tcPr>
            <w:tcW w:type="dxa" w:w="7488"/>
          </w:tcPr>
          <w:p>
            <w:pPr>
              <w:spacing w:after="40" w:line="276" w:lineRule="auto"/>
            </w:pPr>
            <w:r>
              <w:t xml:space="preserve">    3.1   System Overview</w:t>
            </w:r>
          </w:p>
        </w:tc>
        <w:tc>
          <w:tcPr>
            <w:tcW w:type="dxa" w:w="1152"/>
          </w:tcPr>
          <w:p>
            <w:pPr>
              <w:spacing w:after="40" w:line="276" w:lineRule="auto"/>
              <w:jc w:val="right"/>
            </w:pPr>
            <w:r>
              <w:t>13</w:t>
            </w:r>
          </w:p>
        </w:tc>
      </w:tr>
      <w:tr>
        <w:tc>
          <w:tcPr>
            <w:tcW w:type="dxa" w:w="7488"/>
          </w:tcPr>
          <w:p>
            <w:pPr>
              <w:spacing w:after="40" w:line="276" w:lineRule="auto"/>
            </w:pPr>
            <w:r>
              <w:t xml:space="preserve">    3.2   Components of the System</w:t>
            </w:r>
          </w:p>
        </w:tc>
        <w:tc>
          <w:tcPr>
            <w:tcW w:type="dxa" w:w="1152"/>
          </w:tcPr>
          <w:p>
            <w:pPr>
              <w:spacing w:after="40" w:line="276" w:lineRule="auto"/>
              <w:jc w:val="right"/>
            </w:pPr>
            <w:r>
              <w:t>13</w:t>
            </w:r>
          </w:p>
        </w:tc>
      </w:tr>
      <w:tr>
        <w:tc>
          <w:tcPr>
            <w:tcW w:type="dxa" w:w="7488"/>
          </w:tcPr>
          <w:p>
            <w:pPr>
              <w:spacing w:after="40" w:line="276" w:lineRule="auto"/>
            </w:pPr>
            <w:r>
              <w:t xml:space="preserve">    3.3   Architecture/Framework:</w:t>
            </w:r>
          </w:p>
        </w:tc>
        <w:tc>
          <w:tcPr>
            <w:tcW w:type="dxa" w:w="1152"/>
          </w:tcPr>
          <w:p>
            <w:pPr>
              <w:spacing w:after="40" w:line="276" w:lineRule="auto"/>
              <w:jc w:val="right"/>
            </w:pPr>
            <w:r>
              <w:t>14</w:t>
            </w:r>
          </w:p>
        </w:tc>
      </w:tr>
      <w:tr>
        <w:tc>
          <w:tcPr>
            <w:tcW w:type="dxa" w:w="7488"/>
          </w:tcPr>
          <w:p>
            <w:pPr>
              <w:spacing w:after="40" w:line="276" w:lineRule="auto"/>
            </w:pPr>
            <w:r>
              <w:t xml:space="preserve">    3.4   Algorithm and Process Design:</w:t>
            </w:r>
          </w:p>
        </w:tc>
        <w:tc>
          <w:tcPr>
            <w:tcW w:type="dxa" w:w="1152"/>
          </w:tcPr>
          <w:p>
            <w:pPr>
              <w:spacing w:after="40" w:line="276" w:lineRule="auto"/>
              <w:jc w:val="right"/>
            </w:pPr>
            <w:r>
              <w:t>15</w:t>
            </w:r>
          </w:p>
        </w:tc>
      </w:tr>
      <w:tr>
        <w:tc>
          <w:tcPr>
            <w:tcW w:type="dxa" w:w="7488"/>
          </w:tcPr>
          <w:p>
            <w:pPr>
              <w:spacing w:after="40" w:line="276" w:lineRule="auto"/>
            </w:pPr>
            <w:r>
              <w:t xml:space="preserve">    3.5   Details of Hardware &amp; Software</w:t>
            </w:r>
          </w:p>
        </w:tc>
        <w:tc>
          <w:tcPr>
            <w:tcW w:type="dxa" w:w="1152"/>
          </w:tcPr>
          <w:p>
            <w:pPr>
              <w:spacing w:after="40" w:line="276" w:lineRule="auto"/>
              <w:jc w:val="right"/>
            </w:pPr>
            <w:r>
              <w:t>15</w:t>
            </w:r>
          </w:p>
        </w:tc>
      </w:tr>
      <w:tr>
        <w:tc>
          <w:tcPr>
            <w:tcW w:type="dxa" w:w="7488"/>
          </w:tcPr>
          <w:p>
            <w:pPr>
              <w:spacing w:after="40" w:line="276" w:lineRule="auto"/>
            </w:pPr>
            <w:r>
              <w:rPr>
                <w:b/>
              </w:rPr>
              <w:t>4   Design and Methodology</w:t>
            </w:r>
          </w:p>
        </w:tc>
        <w:tc>
          <w:tcPr>
            <w:tcW w:type="dxa" w:w="1152"/>
          </w:tcPr>
          <w:p>
            <w:pPr>
              <w:spacing w:after="40" w:line="276" w:lineRule="auto"/>
              <w:jc w:val="right"/>
            </w:pPr>
            <w:r>
              <w:rPr>
                <w:b/>
              </w:rPr>
              <w:t>16</w:t>
            </w:r>
          </w:p>
        </w:tc>
      </w:tr>
      <w:tr>
        <w:tc>
          <w:tcPr>
            <w:tcW w:type="dxa" w:w="7488"/>
          </w:tcPr>
          <w:p>
            <w:pPr>
              <w:spacing w:after="40" w:line="276" w:lineRule="auto"/>
            </w:pPr>
            <w:r>
              <w:t xml:space="preserve">    4.1   Design Details</w:t>
            </w:r>
          </w:p>
        </w:tc>
        <w:tc>
          <w:tcPr>
            <w:tcW w:type="dxa" w:w="1152"/>
          </w:tcPr>
          <w:p>
            <w:pPr>
              <w:spacing w:after="40" w:line="276" w:lineRule="auto"/>
              <w:jc w:val="right"/>
            </w:pPr>
            <w:r>
              <w:t>16</w:t>
            </w:r>
          </w:p>
        </w:tc>
      </w:tr>
      <w:tr>
        <w:tc>
          <w:tcPr>
            <w:tcW w:type="dxa" w:w="7488"/>
          </w:tcPr>
          <w:p>
            <w:pPr>
              <w:spacing w:after="40" w:line="276" w:lineRule="auto"/>
            </w:pPr>
            <w:r>
              <w:t xml:space="preserve">          4.1.1   Entity-Relationship (ER) Diagram</w:t>
            </w:r>
          </w:p>
        </w:tc>
        <w:tc>
          <w:tcPr>
            <w:tcW w:type="dxa" w:w="1152"/>
          </w:tcPr>
          <w:p>
            <w:pPr>
              <w:spacing w:after="40" w:line="276" w:lineRule="auto"/>
              <w:jc w:val="right"/>
            </w:pPr>
            <w:r>
              <w:t>16</w:t>
            </w:r>
          </w:p>
        </w:tc>
      </w:tr>
      <w:tr>
        <w:tc>
          <w:tcPr>
            <w:tcW w:type="dxa" w:w="7488"/>
          </w:tcPr>
          <w:p>
            <w:pPr>
              <w:spacing w:after="40" w:line="276" w:lineRule="auto"/>
            </w:pPr>
            <w:r>
              <w:t xml:space="preserve">                  4.1.1.1   Key Entities and Their Attributes</w:t>
            </w:r>
          </w:p>
        </w:tc>
        <w:tc>
          <w:tcPr>
            <w:tcW w:type="dxa" w:w="1152"/>
          </w:tcPr>
          <w:p>
            <w:pPr>
              <w:spacing w:after="40" w:line="276" w:lineRule="auto"/>
              <w:jc w:val="right"/>
            </w:pPr>
            <w:r>
              <w:t>16</w:t>
            </w:r>
          </w:p>
        </w:tc>
      </w:tr>
      <w:tr>
        <w:tc>
          <w:tcPr>
            <w:tcW w:type="dxa" w:w="7488"/>
          </w:tcPr>
          <w:p>
            <w:pPr>
              <w:spacing w:after="40" w:line="276" w:lineRule="auto"/>
            </w:pPr>
            <w:r>
              <w:t xml:space="preserve">                  4.1.1.2   Relationships Between Entities</w:t>
            </w:r>
          </w:p>
        </w:tc>
        <w:tc>
          <w:tcPr>
            <w:tcW w:type="dxa" w:w="1152"/>
          </w:tcPr>
          <w:p>
            <w:pPr>
              <w:spacing w:after="40" w:line="276" w:lineRule="auto"/>
              <w:jc w:val="right"/>
            </w:pPr>
            <w:r>
              <w:t>18</w:t>
            </w:r>
          </w:p>
        </w:tc>
      </w:tr>
      <w:tr>
        <w:tc>
          <w:tcPr>
            <w:tcW w:type="dxa" w:w="7488"/>
          </w:tcPr>
          <w:p>
            <w:pPr>
              <w:spacing w:after="40" w:line="276" w:lineRule="auto"/>
            </w:pPr>
            <w:r>
              <w:t xml:space="preserve">                  4.1.1.3   Design Advantages</w:t>
            </w:r>
          </w:p>
        </w:tc>
        <w:tc>
          <w:tcPr>
            <w:tcW w:type="dxa" w:w="1152"/>
          </w:tcPr>
          <w:p>
            <w:pPr>
              <w:spacing w:after="40" w:line="276" w:lineRule="auto"/>
              <w:jc w:val="right"/>
            </w:pPr>
            <w:r>
              <w:t>18</w:t>
            </w:r>
          </w:p>
        </w:tc>
      </w:tr>
      <w:tr>
        <w:tc>
          <w:tcPr>
            <w:tcW w:type="dxa" w:w="7488"/>
          </w:tcPr>
          <w:p>
            <w:pPr>
              <w:spacing w:after="40" w:line="276" w:lineRule="auto"/>
            </w:pPr>
            <w:r>
              <w:t xml:space="preserve">          4.1.2   UML Activity Diagram</w:t>
            </w:r>
          </w:p>
        </w:tc>
        <w:tc>
          <w:tcPr>
            <w:tcW w:type="dxa" w:w="1152"/>
          </w:tcPr>
          <w:p>
            <w:pPr>
              <w:spacing w:after="40" w:line="276" w:lineRule="auto"/>
              <w:jc w:val="right"/>
            </w:pPr>
            <w:r>
              <w:t>18</w:t>
            </w:r>
          </w:p>
        </w:tc>
      </w:tr>
      <w:tr>
        <w:tc>
          <w:tcPr>
            <w:tcW w:type="dxa" w:w="7488"/>
          </w:tcPr>
          <w:p>
            <w:pPr>
              <w:spacing w:after="40" w:line="276" w:lineRule="auto"/>
            </w:pPr>
            <w:r>
              <w:t xml:space="preserve">                  4.1.2.1   Activity Flow</w:t>
            </w:r>
          </w:p>
        </w:tc>
        <w:tc>
          <w:tcPr>
            <w:tcW w:type="dxa" w:w="1152"/>
          </w:tcPr>
          <w:p>
            <w:pPr>
              <w:spacing w:after="40" w:line="276" w:lineRule="auto"/>
              <w:jc w:val="right"/>
            </w:pPr>
            <w:r>
              <w:t>19</w:t>
            </w:r>
          </w:p>
        </w:tc>
      </w:tr>
      <w:tr>
        <w:tc>
          <w:tcPr>
            <w:tcW w:type="dxa" w:w="7488"/>
          </w:tcPr>
          <w:p>
            <w:pPr>
              <w:spacing w:after="40" w:line="276" w:lineRule="auto"/>
            </w:pPr>
            <w:r>
              <w:t xml:space="preserve">                  4.1.2.2   Features of the Activity Design</w:t>
            </w:r>
          </w:p>
        </w:tc>
        <w:tc>
          <w:tcPr>
            <w:tcW w:type="dxa" w:w="1152"/>
          </w:tcPr>
          <w:p>
            <w:pPr>
              <w:spacing w:after="40" w:line="276" w:lineRule="auto"/>
              <w:jc w:val="right"/>
            </w:pPr>
            <w:r>
              <w:t>20</w:t>
            </w:r>
          </w:p>
        </w:tc>
      </w:tr>
      <w:tr>
        <w:tc>
          <w:tcPr>
            <w:tcW w:type="dxa" w:w="7488"/>
          </w:tcPr>
          <w:p>
            <w:pPr>
              <w:spacing w:after="40" w:line="276" w:lineRule="auto"/>
            </w:pPr>
            <w:r>
              <w:t xml:space="preserve">          4.1.3   Data Flow Diagram (DFD) – Level 1</w:t>
            </w:r>
          </w:p>
        </w:tc>
        <w:tc>
          <w:tcPr>
            <w:tcW w:type="dxa" w:w="1152"/>
          </w:tcPr>
          <w:p>
            <w:pPr>
              <w:spacing w:after="40" w:line="276" w:lineRule="auto"/>
              <w:jc w:val="right"/>
            </w:pPr>
            <w:r>
              <w:t>20</w:t>
            </w:r>
          </w:p>
        </w:tc>
      </w:tr>
      <w:tr>
        <w:tc>
          <w:tcPr>
            <w:tcW w:type="dxa" w:w="7488"/>
          </w:tcPr>
          <w:p>
            <w:pPr>
              <w:spacing w:after="40" w:line="276" w:lineRule="auto"/>
            </w:pPr>
            <w:r>
              <w:t xml:space="preserve">                  4.1.3.1   External Entity: User</w:t>
            </w:r>
          </w:p>
        </w:tc>
        <w:tc>
          <w:tcPr>
            <w:tcW w:type="dxa" w:w="1152"/>
          </w:tcPr>
          <w:p>
            <w:pPr>
              <w:spacing w:after="40" w:line="276" w:lineRule="auto"/>
              <w:jc w:val="right"/>
            </w:pPr>
            <w:r>
              <w:t>21</w:t>
            </w:r>
          </w:p>
        </w:tc>
      </w:tr>
      <w:tr>
        <w:tc>
          <w:tcPr>
            <w:tcW w:type="dxa" w:w="7488"/>
          </w:tcPr>
          <w:p>
            <w:pPr>
              <w:spacing w:after="40" w:line="276" w:lineRule="auto"/>
            </w:pPr>
            <w:r>
              <w:t xml:space="preserve">                  4.1.3.2   Core Processes</w:t>
            </w:r>
          </w:p>
        </w:tc>
        <w:tc>
          <w:tcPr>
            <w:tcW w:type="dxa" w:w="1152"/>
          </w:tcPr>
          <w:p>
            <w:pPr>
              <w:spacing w:after="40" w:line="276" w:lineRule="auto"/>
              <w:jc w:val="right"/>
            </w:pPr>
            <w:r>
              <w:t>21</w:t>
            </w:r>
          </w:p>
        </w:tc>
      </w:tr>
      <w:tr>
        <w:tc>
          <w:tcPr>
            <w:tcW w:type="dxa" w:w="7488"/>
          </w:tcPr>
          <w:p>
            <w:pPr>
              <w:spacing w:after="40" w:line="276" w:lineRule="auto"/>
            </w:pPr>
            <w:r>
              <w:t xml:space="preserve">                  4.1.3.3   Data Stores</w:t>
            </w:r>
          </w:p>
        </w:tc>
        <w:tc>
          <w:tcPr>
            <w:tcW w:type="dxa" w:w="1152"/>
          </w:tcPr>
          <w:p>
            <w:pPr>
              <w:spacing w:after="40" w:line="276" w:lineRule="auto"/>
              <w:jc w:val="right"/>
            </w:pPr>
            <w:r>
              <w:t>22</w:t>
            </w:r>
          </w:p>
        </w:tc>
      </w:tr>
      <w:tr>
        <w:tc>
          <w:tcPr>
            <w:tcW w:type="dxa" w:w="7488"/>
          </w:tcPr>
          <w:p>
            <w:pPr>
              <w:spacing w:after="40" w:line="276" w:lineRule="auto"/>
            </w:pPr>
            <w:r>
              <w:t xml:space="preserve">                  4.1.3.4   External System: Mailtrap / Central Gateway</w:t>
            </w:r>
          </w:p>
        </w:tc>
        <w:tc>
          <w:tcPr>
            <w:tcW w:type="dxa" w:w="1152"/>
          </w:tcPr>
          <w:p>
            <w:pPr>
              <w:spacing w:after="40" w:line="276" w:lineRule="auto"/>
              <w:jc w:val="right"/>
            </w:pPr>
            <w:r>
              <w:t>22</w:t>
            </w:r>
          </w:p>
        </w:tc>
      </w:tr>
      <w:tr>
        <w:tc>
          <w:tcPr>
            <w:tcW w:type="dxa" w:w="7488"/>
          </w:tcPr>
          <w:p>
            <w:pPr>
              <w:spacing w:after="40" w:line="276" w:lineRule="auto"/>
            </w:pPr>
            <w:r>
              <w:t xml:space="preserve">                  4.1.3.5   Workflow Summary</w:t>
            </w:r>
          </w:p>
        </w:tc>
        <w:tc>
          <w:tcPr>
            <w:tcW w:type="dxa" w:w="1152"/>
          </w:tcPr>
          <w:p>
            <w:pPr>
              <w:spacing w:after="40" w:line="276" w:lineRule="auto"/>
              <w:jc w:val="right"/>
            </w:pPr>
            <w:r>
              <w:t>23</w:t>
            </w:r>
          </w:p>
        </w:tc>
      </w:tr>
      <w:tr>
        <w:tc>
          <w:tcPr>
            <w:tcW w:type="dxa" w:w="7488"/>
          </w:tcPr>
          <w:p>
            <w:pPr>
              <w:spacing w:after="40" w:line="276" w:lineRule="auto"/>
            </w:pPr>
            <w:r>
              <w:t xml:space="preserve">                  4.1.3.6   Design Benefits</w:t>
            </w:r>
          </w:p>
        </w:tc>
        <w:tc>
          <w:tcPr>
            <w:tcW w:type="dxa" w:w="1152"/>
          </w:tcPr>
          <w:p>
            <w:pPr>
              <w:spacing w:after="40" w:line="276" w:lineRule="auto"/>
              <w:jc w:val="right"/>
            </w:pPr>
            <w:r>
              <w:t>23</w:t>
            </w:r>
          </w:p>
        </w:tc>
      </w:tr>
      <w:tr>
        <w:tc>
          <w:tcPr>
            <w:tcW w:type="dxa" w:w="7488"/>
          </w:tcPr>
          <w:p>
            <w:pPr>
              <w:spacing w:after="40" w:line="276" w:lineRule="auto"/>
            </w:pPr>
            <w:r>
              <w:t xml:space="preserve">    4.2   Methodology</w:t>
            </w:r>
          </w:p>
        </w:tc>
        <w:tc>
          <w:tcPr>
            <w:tcW w:type="dxa" w:w="1152"/>
          </w:tcPr>
          <w:p>
            <w:pPr>
              <w:spacing w:after="40" w:line="276" w:lineRule="auto"/>
              <w:jc w:val="right"/>
            </w:pPr>
            <w:r>
              <w:t>23</w:t>
            </w:r>
          </w:p>
        </w:tc>
      </w:tr>
      <w:tr>
        <w:tc>
          <w:tcPr>
            <w:tcW w:type="dxa" w:w="7488"/>
          </w:tcPr>
          <w:p>
            <w:pPr>
              <w:spacing w:after="40" w:line="276" w:lineRule="auto"/>
            </w:pPr>
            <w:r>
              <w:t xml:space="preserve">    4.3   Algorithm Implementation</w:t>
            </w:r>
          </w:p>
        </w:tc>
        <w:tc>
          <w:tcPr>
            <w:tcW w:type="dxa" w:w="1152"/>
          </w:tcPr>
          <w:p>
            <w:pPr>
              <w:spacing w:after="40" w:line="276" w:lineRule="auto"/>
              <w:jc w:val="right"/>
            </w:pPr>
            <w:r>
              <w:t>24</w:t>
            </w:r>
          </w:p>
        </w:tc>
      </w:tr>
      <w:tr>
        <w:tc>
          <w:tcPr>
            <w:tcW w:type="dxa" w:w="7488"/>
          </w:tcPr>
          <w:p>
            <w:pPr>
              <w:spacing w:after="40" w:line="276" w:lineRule="auto"/>
            </w:pPr>
            <w:r>
              <w:t xml:space="preserve">    4.4   Details of Hardware &amp; Software</w:t>
            </w:r>
          </w:p>
        </w:tc>
        <w:tc>
          <w:tcPr>
            <w:tcW w:type="dxa" w:w="1152"/>
          </w:tcPr>
          <w:p>
            <w:pPr>
              <w:spacing w:after="40" w:line="276" w:lineRule="auto"/>
              <w:jc w:val="right"/>
            </w:pPr>
            <w:r>
              <w:t>25</w:t>
            </w:r>
          </w:p>
        </w:tc>
      </w:tr>
      <w:tr>
        <w:tc>
          <w:tcPr>
            <w:tcW w:type="dxa" w:w="7488"/>
          </w:tcPr>
          <w:p>
            <w:pPr>
              <w:spacing w:after="40" w:line="276" w:lineRule="auto"/>
            </w:pPr>
            <w:r>
              <w:t xml:space="preserve">          4.4.1   Hardware Requirements</w:t>
            </w:r>
          </w:p>
        </w:tc>
        <w:tc>
          <w:tcPr>
            <w:tcW w:type="dxa" w:w="1152"/>
          </w:tcPr>
          <w:p>
            <w:pPr>
              <w:spacing w:after="40" w:line="276" w:lineRule="auto"/>
              <w:jc w:val="right"/>
            </w:pPr>
            <w:r>
              <w:t>25</w:t>
            </w:r>
          </w:p>
        </w:tc>
      </w:tr>
      <w:tr>
        <w:tc>
          <w:tcPr>
            <w:tcW w:type="dxa" w:w="7488"/>
          </w:tcPr>
          <w:p>
            <w:pPr>
              <w:spacing w:after="40" w:line="276" w:lineRule="auto"/>
            </w:pPr>
            <w:r>
              <w:t xml:space="preserve">          4.4.2   Software Requirements</w:t>
            </w:r>
          </w:p>
        </w:tc>
        <w:tc>
          <w:tcPr>
            <w:tcW w:type="dxa" w:w="1152"/>
          </w:tcPr>
          <w:p>
            <w:pPr>
              <w:spacing w:after="40" w:line="276" w:lineRule="auto"/>
              <w:jc w:val="right"/>
            </w:pPr>
            <w:r>
              <w:t>25</w:t>
            </w:r>
          </w:p>
        </w:tc>
      </w:tr>
      <w:tr>
        <w:tc>
          <w:tcPr>
            <w:tcW w:type="dxa" w:w="7488"/>
          </w:tcPr>
          <w:p>
            <w:pPr>
              <w:spacing w:after="40" w:line="276" w:lineRule="auto"/>
            </w:pPr>
            <w:r>
              <w:rPr>
                <w:b/>
              </w:rPr>
              <w:t>5   Results and Discussions</w:t>
            </w:r>
          </w:p>
        </w:tc>
        <w:tc>
          <w:tcPr>
            <w:tcW w:type="dxa" w:w="1152"/>
          </w:tcPr>
          <w:p>
            <w:pPr>
              <w:spacing w:after="40" w:line="276" w:lineRule="auto"/>
              <w:jc w:val="right"/>
            </w:pPr>
            <w:r>
              <w:rPr>
                <w:b/>
              </w:rPr>
              <w:t>27</w:t>
            </w:r>
          </w:p>
        </w:tc>
      </w:tr>
      <w:tr>
        <w:tc>
          <w:tcPr>
            <w:tcW w:type="dxa" w:w="7488"/>
          </w:tcPr>
          <w:p>
            <w:pPr>
              <w:spacing w:after="40" w:line="276" w:lineRule="auto"/>
            </w:pPr>
            <w:r>
              <w:t xml:space="preserve">    5.1   Implementation</w:t>
            </w:r>
          </w:p>
        </w:tc>
        <w:tc>
          <w:tcPr>
            <w:tcW w:type="dxa" w:w="1152"/>
          </w:tcPr>
          <w:p>
            <w:pPr>
              <w:spacing w:after="40" w:line="276" w:lineRule="auto"/>
              <w:jc w:val="right"/>
            </w:pPr>
            <w:r>
              <w:t>27</w:t>
            </w:r>
          </w:p>
        </w:tc>
      </w:tr>
      <w:tr>
        <w:tc>
          <w:tcPr>
            <w:tcW w:type="dxa" w:w="7488"/>
          </w:tcPr>
          <w:p>
            <w:pPr>
              <w:spacing w:after="40" w:line="276" w:lineRule="auto"/>
            </w:pPr>
            <w:r>
              <w:t xml:space="preserve">          5.1.1   User Interface Overview</w:t>
            </w:r>
          </w:p>
        </w:tc>
        <w:tc>
          <w:tcPr>
            <w:tcW w:type="dxa" w:w="1152"/>
          </w:tcPr>
          <w:p>
            <w:pPr>
              <w:spacing w:after="40" w:line="276" w:lineRule="auto"/>
              <w:jc w:val="right"/>
            </w:pPr>
            <w:r>
              <w:t>27</w:t>
            </w:r>
          </w:p>
        </w:tc>
      </w:tr>
      <w:tr>
        <w:tc>
          <w:tcPr>
            <w:tcW w:type="dxa" w:w="7488"/>
          </w:tcPr>
          <w:p>
            <w:pPr>
              <w:spacing w:after="40" w:line="276" w:lineRule="auto"/>
            </w:pPr>
            <w:r>
              <w:t xml:space="preserve">          5.1.2   Key Features</w:t>
            </w:r>
          </w:p>
        </w:tc>
        <w:tc>
          <w:tcPr>
            <w:tcW w:type="dxa" w:w="1152"/>
          </w:tcPr>
          <w:p>
            <w:pPr>
              <w:spacing w:after="40" w:line="276" w:lineRule="auto"/>
              <w:jc w:val="right"/>
            </w:pPr>
            <w:r>
              <w:t>27</w:t>
            </w:r>
          </w:p>
        </w:tc>
      </w:tr>
      <w:tr>
        <w:tc>
          <w:tcPr>
            <w:tcW w:type="dxa" w:w="7488"/>
          </w:tcPr>
          <w:p>
            <w:pPr>
              <w:spacing w:after="40" w:line="276" w:lineRule="auto"/>
            </w:pPr>
            <w:r>
              <w:t xml:space="preserve">          5.1.3   File Upload Functionality</w:t>
            </w:r>
          </w:p>
        </w:tc>
        <w:tc>
          <w:tcPr>
            <w:tcW w:type="dxa" w:w="1152"/>
          </w:tcPr>
          <w:p>
            <w:pPr>
              <w:spacing w:after="40" w:line="276" w:lineRule="auto"/>
              <w:jc w:val="right"/>
            </w:pPr>
            <w:r>
              <w:t>28</w:t>
            </w:r>
          </w:p>
        </w:tc>
      </w:tr>
      <w:tr>
        <w:tc>
          <w:tcPr>
            <w:tcW w:type="dxa" w:w="7488"/>
          </w:tcPr>
          <w:p>
            <w:pPr>
              <w:spacing w:after="40" w:line="276" w:lineRule="auto"/>
            </w:pPr>
            <w:r>
              <w:t xml:space="preserve">          5.1.4   Model Selection</w:t>
            </w:r>
          </w:p>
        </w:tc>
        <w:tc>
          <w:tcPr>
            <w:tcW w:type="dxa" w:w="1152"/>
          </w:tcPr>
          <w:p>
            <w:pPr>
              <w:spacing w:after="40" w:line="276" w:lineRule="auto"/>
              <w:jc w:val="right"/>
            </w:pPr>
            <w:r>
              <w:t>29</w:t>
            </w:r>
          </w:p>
        </w:tc>
      </w:tr>
      <w:tr>
        <w:tc>
          <w:tcPr>
            <w:tcW w:type="dxa" w:w="7488"/>
          </w:tcPr>
          <w:p>
            <w:pPr>
              <w:spacing w:after="40" w:line="276" w:lineRule="auto"/>
            </w:pPr>
            <w:r>
              <w:t xml:space="preserve">          5.1.5   Query and Response Generation / Real-Time Masking</w:t>
            </w:r>
          </w:p>
        </w:tc>
        <w:tc>
          <w:tcPr>
            <w:tcW w:type="dxa" w:w="1152"/>
          </w:tcPr>
          <w:p>
            <w:pPr>
              <w:spacing w:after="40" w:line="276" w:lineRule="auto"/>
              <w:jc w:val="right"/>
            </w:pPr>
            <w:r>
              <w:t>29</w:t>
            </w:r>
          </w:p>
        </w:tc>
      </w:tr>
      <w:tr>
        <w:tc>
          <w:tcPr>
            <w:tcW w:type="dxa" w:w="7488"/>
          </w:tcPr>
          <w:p>
            <w:pPr>
              <w:spacing w:after="40" w:line="276" w:lineRule="auto"/>
            </w:pPr>
            <w:r>
              <w:t xml:space="preserve">    5.2   Results</w:t>
            </w:r>
          </w:p>
        </w:tc>
        <w:tc>
          <w:tcPr>
            <w:tcW w:type="dxa" w:w="1152"/>
          </w:tcPr>
          <w:p>
            <w:pPr>
              <w:spacing w:after="40" w:line="276" w:lineRule="auto"/>
              <w:jc w:val="right"/>
            </w:pPr>
            <w:r>
              <w:t>30</w:t>
            </w:r>
          </w:p>
        </w:tc>
      </w:tr>
      <w:tr>
        <w:tc>
          <w:tcPr>
            <w:tcW w:type="dxa" w:w="7488"/>
          </w:tcPr>
          <w:p>
            <w:pPr>
              <w:spacing w:after="40" w:line="276" w:lineRule="auto"/>
            </w:pPr>
            <w:r>
              <w:rPr>
                <w:b/>
              </w:rPr>
              <w:t>6   Conclusion and Future Scope</w:t>
            </w:r>
          </w:p>
        </w:tc>
        <w:tc>
          <w:tcPr>
            <w:tcW w:type="dxa" w:w="1152"/>
          </w:tcPr>
          <w:p>
            <w:pPr>
              <w:spacing w:after="40" w:line="276" w:lineRule="auto"/>
              <w:jc w:val="right"/>
            </w:pPr>
            <w:r>
              <w:rPr>
                <w:b/>
              </w:rPr>
              <w:t>33</w:t>
            </w:r>
          </w:p>
        </w:tc>
      </w:tr>
      <w:tr>
        <w:tc>
          <w:tcPr>
            <w:tcW w:type="dxa" w:w="7488"/>
          </w:tcPr>
          <w:p>
            <w:pPr>
              <w:spacing w:after="40" w:line="276" w:lineRule="auto"/>
            </w:pPr>
            <w:r>
              <w:rPr>
                <w:b/>
              </w:rPr>
              <w:t>Plagiarism Report</w:t>
            </w:r>
          </w:p>
        </w:tc>
        <w:tc>
          <w:tcPr>
            <w:tcW w:type="dxa" w:w="1152"/>
          </w:tcPr>
          <w:p>
            <w:pPr>
              <w:spacing w:after="40" w:line="276" w:lineRule="auto"/>
              <w:jc w:val="right"/>
            </w:pPr>
            <w:r>
              <w:rPr>
                <w:b/>
              </w:rPr>
              <w:t>35</w:t>
            </w:r>
          </w:p>
        </w:tc>
      </w:tr>
      <w:tr>
        <w:tc>
          <w:tcPr>
            <w:tcW w:type="dxa" w:w="7488"/>
          </w:tcPr>
          <w:p>
            <w:pPr>
              <w:spacing w:after="40" w:line="276" w:lineRule="auto"/>
            </w:pPr>
            <w:r>
              <w:rPr>
                <w:b/>
              </w:rPr>
              <w:t>Publication Details / Project Achievements</w:t>
            </w:r>
          </w:p>
        </w:tc>
        <w:tc>
          <w:tcPr>
            <w:tcW w:type="dxa" w:w="1152"/>
          </w:tcPr>
          <w:p>
            <w:pPr>
              <w:spacing w:after="40" w:line="276" w:lineRule="auto"/>
              <w:jc w:val="right"/>
            </w:pPr>
            <w:r>
              <w:rPr>
                <w:b/>
              </w:rPr>
              <w:t>36</w:t>
            </w:r>
          </w:p>
        </w:tc>
      </w:tr>
      <w:tr>
        <w:tc>
          <w:tcPr>
            <w:tcW w:type="dxa" w:w="7488"/>
          </w:tcPr>
          <w:p>
            <w:pPr>
              <w:spacing w:after="40" w:line="276" w:lineRule="auto"/>
            </w:pPr>
            <w:r>
              <w:rPr>
                <w:b/>
              </w:rPr>
              <w:t>Certificates</w:t>
            </w:r>
          </w:p>
        </w:tc>
        <w:tc>
          <w:tcPr>
            <w:tcW w:type="dxa" w:w="1152"/>
          </w:tcPr>
          <w:p>
            <w:pPr>
              <w:spacing w:after="40" w:line="276" w:lineRule="auto"/>
              <w:jc w:val="right"/>
            </w:pPr>
            <w:r>
              <w:rPr>
                <w:b/>
              </w:rPr>
              <w:t>37</w:t>
            </w:r>
          </w:p>
        </w:tc>
      </w:tr>
    </w:tbl>
    <w:p>
      <w:pPr>
        <w:spacing w:before="480"/>
        <w:jc w:val="center"/>
      </w:pPr>
      <w:r>
        <w:rPr>
          <w:sz w:val="20"/>
        </w:rPr>
        <w:t>2–4</w:t>
      </w:r>
    </w:p>
    <w:p>
      <w:r>
        <w:br w:type="page"/>
      </w:r>
    </w:p>
    <w:p>
      <w:pPr>
        <w:spacing w:before="720" w:after="480"/>
        <w:jc w:val="center"/>
      </w:pPr>
      <w:r>
        <w:rPr>
          <w:b/>
          <w:sz w:val="32"/>
        </w:rPr>
        <w:t>List of Figures</w:t>
      </w:r>
    </w:p>
    <w:tbl>
      <w:tblPr>
        <w:tblW w:type="auto" w:w="0"/>
        <w:jc w:val="center"/>
        <w:tblLook w:firstColumn="1" w:firstRow="1" w:lastColumn="0" w:lastRow="0" w:noHBand="0" w:noVBand="1" w:val="04A0"/>
      </w:tblPr>
      <w:tblGrid>
        <w:gridCol w:w="2880"/>
        <w:gridCol w:w="2880"/>
        <w:gridCol w:w="2880"/>
      </w:tblGrid>
      <w:tr>
        <w:tc>
          <w:tcPr>
            <w:tcW w:type="dxa" w:w="2880"/>
            <w:shd w:fill="F2F2F2"/>
          </w:tcPr>
          <w:p>
            <w:pPr>
              <w:spacing w:after="60" w:line="276" w:lineRule="auto"/>
            </w:pPr>
            <w:r>
              <w:rPr>
                <w:b/>
              </w:rPr>
              <w:t>Figure No.</w:t>
            </w:r>
          </w:p>
        </w:tc>
        <w:tc>
          <w:tcPr>
            <w:tcW w:type="dxa" w:w="2880"/>
            <w:shd w:fill="F2F2F2"/>
          </w:tcPr>
          <w:p>
            <w:pPr>
              <w:spacing w:after="60" w:line="276" w:lineRule="auto"/>
            </w:pPr>
            <w:r>
              <w:rPr>
                <w:b/>
              </w:rPr>
              <w:t>Figure Caption</w:t>
            </w:r>
          </w:p>
        </w:tc>
        <w:tc>
          <w:tcPr>
            <w:tcW w:type="dxa" w:w="2880"/>
            <w:shd w:fill="F2F2F2"/>
          </w:tcPr>
          <w:p>
            <w:pPr>
              <w:spacing w:after="60" w:line="276" w:lineRule="auto"/>
              <w:jc w:val="right"/>
            </w:pPr>
            <w:r>
              <w:rPr>
                <w:b/>
              </w:rPr>
              <w:t>Page No.</w:t>
            </w:r>
          </w:p>
        </w:tc>
      </w:tr>
      <w:tr>
        <w:tc>
          <w:tcPr>
            <w:tcW w:type="dxa" w:w="2880"/>
          </w:tcPr>
          <w:p>
            <w:pPr>
              <w:spacing w:after="60" w:line="276" w:lineRule="auto"/>
            </w:pPr>
            <w:r>
              <w:t>1.1</w:t>
            </w:r>
          </w:p>
        </w:tc>
        <w:tc>
          <w:tcPr>
            <w:tcW w:type="dxa" w:w="2880"/>
          </w:tcPr>
          <w:p>
            <w:pPr>
              <w:spacing w:after="60" w:line="276" w:lineRule="auto"/>
            </w:pPr>
            <w:r>
              <w:t>Project Schedule — Gantt Chart</w:t>
            </w:r>
          </w:p>
        </w:tc>
        <w:tc>
          <w:tcPr>
            <w:tcW w:type="dxa" w:w="2880"/>
          </w:tcPr>
          <w:p>
            <w:pPr>
              <w:spacing w:after="60" w:line="276" w:lineRule="auto"/>
              <w:jc w:val="right"/>
            </w:pPr>
            <w:r>
              <w:t>2</w:t>
            </w:r>
          </w:p>
        </w:tc>
      </w:tr>
      <w:tr>
        <w:tc>
          <w:tcPr>
            <w:tcW w:type="dxa" w:w="2880"/>
          </w:tcPr>
          <w:p>
            <w:pPr>
              <w:spacing w:after="60" w:line="276" w:lineRule="auto"/>
            </w:pPr>
            <w:r>
              <w:t>3.1</w:t>
            </w:r>
          </w:p>
        </w:tc>
        <w:tc>
          <w:tcPr>
            <w:tcW w:type="dxa" w:w="2880"/>
          </w:tcPr>
          <w:p>
            <w:pPr>
              <w:spacing w:after="60" w:line="276" w:lineRule="auto"/>
            </w:pPr>
            <w:r>
              <w:t>Architecture of SecureFlowAI DLP Framework</w:t>
            </w:r>
          </w:p>
        </w:tc>
        <w:tc>
          <w:tcPr>
            <w:tcW w:type="dxa" w:w="2880"/>
          </w:tcPr>
          <w:p>
            <w:pPr>
              <w:spacing w:after="60" w:line="276" w:lineRule="auto"/>
              <w:jc w:val="right"/>
            </w:pPr>
            <w:r>
              <w:t>8</w:t>
            </w:r>
          </w:p>
        </w:tc>
      </w:tr>
      <w:tr>
        <w:tc>
          <w:tcPr>
            <w:tcW w:type="dxa" w:w="2880"/>
          </w:tcPr>
          <w:p>
            <w:pPr>
              <w:spacing w:after="60" w:line="276" w:lineRule="auto"/>
            </w:pPr>
            <w:r>
              <w:t>4.1</w:t>
            </w:r>
          </w:p>
        </w:tc>
        <w:tc>
          <w:tcPr>
            <w:tcW w:type="dxa" w:w="2880"/>
          </w:tcPr>
          <w:p>
            <w:pPr>
              <w:spacing w:after="60" w:line="276" w:lineRule="auto"/>
            </w:pPr>
            <w:r>
              <w:t>ER Diagram</w:t>
            </w:r>
          </w:p>
        </w:tc>
        <w:tc>
          <w:tcPr>
            <w:tcW w:type="dxa" w:w="2880"/>
          </w:tcPr>
          <w:p>
            <w:pPr>
              <w:spacing w:after="60" w:line="276" w:lineRule="auto"/>
              <w:jc w:val="right"/>
            </w:pPr>
            <w:r>
              <w:t>10</w:t>
            </w:r>
          </w:p>
        </w:tc>
      </w:tr>
      <w:tr>
        <w:tc>
          <w:tcPr>
            <w:tcW w:type="dxa" w:w="2880"/>
          </w:tcPr>
          <w:p>
            <w:pPr>
              <w:spacing w:after="60" w:line="276" w:lineRule="auto"/>
            </w:pPr>
            <w:r>
              <w:t>4.2</w:t>
            </w:r>
          </w:p>
        </w:tc>
        <w:tc>
          <w:tcPr>
            <w:tcW w:type="dxa" w:w="2880"/>
          </w:tcPr>
          <w:p>
            <w:pPr>
              <w:spacing w:after="60" w:line="276" w:lineRule="auto"/>
            </w:pPr>
            <w:r>
              <w:t>UML Diagram</w:t>
            </w:r>
          </w:p>
        </w:tc>
        <w:tc>
          <w:tcPr>
            <w:tcW w:type="dxa" w:w="2880"/>
          </w:tcPr>
          <w:p>
            <w:pPr>
              <w:spacing w:after="60" w:line="276" w:lineRule="auto"/>
              <w:jc w:val="right"/>
            </w:pPr>
            <w:r>
              <w:t>13</w:t>
            </w:r>
          </w:p>
        </w:tc>
      </w:tr>
      <w:tr>
        <w:tc>
          <w:tcPr>
            <w:tcW w:type="dxa" w:w="2880"/>
          </w:tcPr>
          <w:p>
            <w:pPr>
              <w:spacing w:after="60" w:line="276" w:lineRule="auto"/>
            </w:pPr>
            <w:r>
              <w:t>4.3</w:t>
            </w:r>
          </w:p>
        </w:tc>
        <w:tc>
          <w:tcPr>
            <w:tcW w:type="dxa" w:w="2880"/>
          </w:tcPr>
          <w:p>
            <w:pPr>
              <w:spacing w:after="60" w:line="276" w:lineRule="auto"/>
            </w:pPr>
            <w:r>
              <w:t>DFD Diagram</w:t>
            </w:r>
          </w:p>
        </w:tc>
        <w:tc>
          <w:tcPr>
            <w:tcW w:type="dxa" w:w="2880"/>
          </w:tcPr>
          <w:p>
            <w:pPr>
              <w:spacing w:after="60" w:line="276" w:lineRule="auto"/>
              <w:jc w:val="right"/>
            </w:pPr>
            <w:r>
              <w:t>15</w:t>
            </w:r>
          </w:p>
        </w:tc>
      </w:tr>
      <w:tr>
        <w:tc>
          <w:tcPr>
            <w:tcW w:type="dxa" w:w="2880"/>
          </w:tcPr>
          <w:p>
            <w:pPr>
              <w:spacing w:after="60" w:line="276" w:lineRule="auto"/>
            </w:pPr>
            <w:r>
              <w:t>5.1</w:t>
            </w:r>
          </w:p>
        </w:tc>
        <w:tc>
          <w:tcPr>
            <w:tcW w:type="dxa" w:w="2880"/>
          </w:tcPr>
          <w:p>
            <w:pPr>
              <w:spacing w:after="60" w:line="276" w:lineRule="auto"/>
            </w:pPr>
            <w:r>
              <w:t>User Interface</w:t>
            </w:r>
          </w:p>
        </w:tc>
        <w:tc>
          <w:tcPr>
            <w:tcW w:type="dxa" w:w="2880"/>
          </w:tcPr>
          <w:p>
            <w:pPr>
              <w:spacing w:after="60" w:line="276" w:lineRule="auto"/>
              <w:jc w:val="right"/>
            </w:pPr>
            <w:r>
              <w:t>21</w:t>
            </w:r>
          </w:p>
        </w:tc>
      </w:tr>
      <w:tr>
        <w:tc>
          <w:tcPr>
            <w:tcW w:type="dxa" w:w="2880"/>
          </w:tcPr>
          <w:p>
            <w:pPr>
              <w:spacing w:after="60" w:line="276" w:lineRule="auto"/>
            </w:pPr>
            <w:r>
              <w:t>5.2</w:t>
            </w:r>
          </w:p>
        </w:tc>
        <w:tc>
          <w:tcPr>
            <w:tcW w:type="dxa" w:w="2880"/>
          </w:tcPr>
          <w:p>
            <w:pPr>
              <w:spacing w:after="60" w:line="276" w:lineRule="auto"/>
            </w:pPr>
            <w:r>
              <w:t>File Upload Interface</w:t>
            </w:r>
          </w:p>
        </w:tc>
        <w:tc>
          <w:tcPr>
            <w:tcW w:type="dxa" w:w="2880"/>
          </w:tcPr>
          <w:p>
            <w:pPr>
              <w:spacing w:after="60" w:line="276" w:lineRule="auto"/>
              <w:jc w:val="right"/>
            </w:pPr>
            <w:r>
              <w:t>22</w:t>
            </w:r>
          </w:p>
        </w:tc>
      </w:tr>
      <w:tr>
        <w:tc>
          <w:tcPr>
            <w:tcW w:type="dxa" w:w="2880"/>
          </w:tcPr>
          <w:p>
            <w:pPr>
              <w:spacing w:after="60" w:line="276" w:lineRule="auto"/>
            </w:pPr>
            <w:r>
              <w:t>5.3</w:t>
            </w:r>
          </w:p>
        </w:tc>
        <w:tc>
          <w:tcPr>
            <w:tcW w:type="dxa" w:w="2880"/>
          </w:tcPr>
          <w:p>
            <w:pPr>
              <w:spacing w:after="60" w:line="276" w:lineRule="auto"/>
            </w:pPr>
            <w:r>
              <w:t>Model Selection Interface</w:t>
            </w:r>
          </w:p>
        </w:tc>
        <w:tc>
          <w:tcPr>
            <w:tcW w:type="dxa" w:w="2880"/>
          </w:tcPr>
          <w:p>
            <w:pPr>
              <w:spacing w:after="60" w:line="276" w:lineRule="auto"/>
              <w:jc w:val="right"/>
            </w:pPr>
            <w:r>
              <w:t>23</w:t>
            </w:r>
          </w:p>
        </w:tc>
      </w:tr>
      <w:tr>
        <w:tc>
          <w:tcPr>
            <w:tcW w:type="dxa" w:w="2880"/>
          </w:tcPr>
          <w:p>
            <w:pPr>
              <w:spacing w:after="60" w:line="276" w:lineRule="auto"/>
            </w:pPr>
            <w:r>
              <w:t>5.4</w:t>
            </w:r>
          </w:p>
        </w:tc>
        <w:tc>
          <w:tcPr>
            <w:tcW w:type="dxa" w:w="2880"/>
          </w:tcPr>
          <w:p>
            <w:pPr>
              <w:spacing w:after="60" w:line="276" w:lineRule="auto"/>
            </w:pPr>
            <w:r>
              <w:t>Response Generation Example</w:t>
            </w:r>
          </w:p>
        </w:tc>
        <w:tc>
          <w:tcPr>
            <w:tcW w:type="dxa" w:w="2880"/>
          </w:tcPr>
          <w:p>
            <w:pPr>
              <w:spacing w:after="60" w:line="276" w:lineRule="auto"/>
              <w:jc w:val="right"/>
            </w:pPr>
            <w:r>
              <w:t>24</w:t>
            </w:r>
          </w:p>
        </w:tc>
      </w:tr>
      <w:tr>
        <w:tc>
          <w:tcPr>
            <w:tcW w:type="dxa" w:w="2880"/>
          </w:tcPr>
          <w:p>
            <w:pPr>
              <w:spacing w:after="60" w:line="276" w:lineRule="auto"/>
            </w:pPr>
            <w:r>
              <w:t>5.5</w:t>
            </w:r>
          </w:p>
        </w:tc>
        <w:tc>
          <w:tcPr>
            <w:tcW w:type="dxa" w:w="2880"/>
          </w:tcPr>
          <w:p>
            <w:pPr>
              <w:spacing w:after="60" w:line="276" w:lineRule="auto"/>
            </w:pPr>
            <w:r>
              <w:t>Evaluation Metrics Visualization</w:t>
            </w:r>
          </w:p>
        </w:tc>
        <w:tc>
          <w:tcPr>
            <w:tcW w:type="dxa" w:w="2880"/>
          </w:tcPr>
          <w:p>
            <w:pPr>
              <w:spacing w:after="60" w:line="276" w:lineRule="auto"/>
              <w:jc w:val="right"/>
            </w:pPr>
            <w:r>
              <w:t>26</w:t>
            </w:r>
          </w:p>
        </w:tc>
      </w:tr>
    </w:tbl>
    <w:p>
      <w:pPr>
        <w:spacing w:before="720"/>
        <w:jc w:val="center"/>
      </w:pPr>
      <w:r>
        <w:rPr>
          <w:sz w:val="20"/>
        </w:rPr>
        <w:t>5</w:t>
      </w:r>
    </w:p>
    <w:p>
      <w:r>
        <w:br w:type="page"/>
      </w:r>
    </w:p>
    <w:p>
      <w:pPr>
        <w:spacing w:before="720" w:after="480"/>
        <w:jc w:val="center"/>
      </w:pPr>
      <w:r>
        <w:rPr>
          <w:b/>
          <w:sz w:val="32"/>
        </w:rPr>
        <w:t>List of Tables</w:t>
      </w:r>
    </w:p>
    <w:tbl>
      <w:tblPr>
        <w:tblW w:type="auto" w:w="0"/>
        <w:jc w:val="center"/>
        <w:tblLook w:firstColumn="1" w:firstRow="1" w:lastColumn="0" w:lastRow="0" w:noHBand="0" w:noVBand="1" w:val="04A0"/>
      </w:tblPr>
      <w:tblGrid>
        <w:gridCol w:w="2880"/>
        <w:gridCol w:w="2880"/>
        <w:gridCol w:w="2880"/>
      </w:tblGrid>
      <w:tr>
        <w:tc>
          <w:tcPr>
            <w:tcW w:type="dxa" w:w="2880"/>
            <w:shd w:fill="F2F2F2"/>
          </w:tcPr>
          <w:p>
            <w:pPr>
              <w:spacing w:after="80" w:line="276" w:lineRule="auto"/>
            </w:pPr>
            <w:r>
              <w:rPr>
                <w:b/>
              </w:rPr>
              <w:t>Table No.</w:t>
            </w:r>
          </w:p>
        </w:tc>
        <w:tc>
          <w:tcPr>
            <w:tcW w:type="dxa" w:w="2880"/>
            <w:shd w:fill="F2F2F2"/>
          </w:tcPr>
          <w:p>
            <w:pPr>
              <w:spacing w:after="80" w:line="276" w:lineRule="auto"/>
            </w:pPr>
            <w:r>
              <w:rPr>
                <w:b/>
              </w:rPr>
              <w:t>Table Caption</w:t>
            </w:r>
          </w:p>
        </w:tc>
        <w:tc>
          <w:tcPr>
            <w:tcW w:type="dxa" w:w="2880"/>
            <w:shd w:fill="F2F2F2"/>
          </w:tcPr>
          <w:p>
            <w:pPr>
              <w:spacing w:after="80" w:line="276" w:lineRule="auto"/>
              <w:jc w:val="right"/>
            </w:pPr>
            <w:r>
              <w:rPr>
                <w:b/>
              </w:rPr>
              <w:t>Page No.</w:t>
            </w:r>
          </w:p>
        </w:tc>
      </w:tr>
      <w:tr>
        <w:tc>
          <w:tcPr>
            <w:tcW w:type="dxa" w:w="2880"/>
          </w:tcPr>
          <w:p>
            <w:pPr>
              <w:spacing w:after="80" w:line="276" w:lineRule="auto"/>
            </w:pPr>
            <w:r>
              <w:t>2.1</w:t>
            </w:r>
          </w:p>
        </w:tc>
        <w:tc>
          <w:tcPr>
            <w:tcW w:type="dxa" w:w="2880"/>
          </w:tcPr>
          <w:p>
            <w:pPr>
              <w:spacing w:after="80" w:line="276" w:lineRule="auto"/>
            </w:pPr>
            <w:r>
              <w:t>Comparative Analysis of Existing Systems</w:t>
            </w:r>
          </w:p>
        </w:tc>
        <w:tc>
          <w:tcPr>
            <w:tcW w:type="dxa" w:w="2880"/>
          </w:tcPr>
          <w:p>
            <w:pPr>
              <w:spacing w:after="80" w:line="276" w:lineRule="auto"/>
              <w:jc w:val="right"/>
            </w:pPr>
            <w:r>
              <w:t>10</w:t>
            </w:r>
          </w:p>
        </w:tc>
      </w:tr>
      <w:tr>
        <w:tc>
          <w:tcPr>
            <w:tcW w:type="dxa" w:w="2880"/>
          </w:tcPr>
          <w:p>
            <w:pPr>
              <w:spacing w:after="80" w:line="276" w:lineRule="auto"/>
            </w:pPr>
            <w:r>
              <w:t>5.1</w:t>
            </w:r>
          </w:p>
        </w:tc>
        <w:tc>
          <w:tcPr>
            <w:tcW w:type="dxa" w:w="2880"/>
          </w:tcPr>
          <w:p>
            <w:pPr>
              <w:spacing w:after="80" w:line="276" w:lineRule="auto"/>
            </w:pPr>
            <w:r>
              <w:t>Average and Channel-Specific Evaluation Metrics for SecureFlowAI</w:t>
            </w:r>
          </w:p>
        </w:tc>
        <w:tc>
          <w:tcPr>
            <w:tcW w:type="dxa" w:w="2880"/>
          </w:tcPr>
          <w:p>
            <w:pPr>
              <w:spacing w:after="80" w:line="276" w:lineRule="auto"/>
              <w:jc w:val="right"/>
            </w:pPr>
            <w:r>
              <w:t>26</w:t>
            </w:r>
          </w:p>
        </w:tc>
      </w:tr>
    </w:tbl>
    <w:p>
      <w:pPr>
        <w:spacing w:before="720"/>
        <w:jc w:val="center"/>
      </w:pPr>
      <w:r>
        <w:rPr>
          <w:sz w:val="20"/>
        </w:rPr>
        <w:t>6</w:t>
      </w:r>
    </w:p>
    <w:p>
      <w:r>
        <w:br w:type="page"/>
      </w:r>
    </w:p>
    <w:p>
      <w:pPr>
        <w:spacing w:before="720" w:after="480"/>
        <w:jc w:val="center"/>
      </w:pPr>
      <w:r>
        <w:rPr>
          <w:b/>
          <w:sz w:val="32"/>
        </w:rPr>
        <w:t>List of Abbreviations</w:t>
      </w:r>
    </w:p>
    <w:tbl>
      <w:tblPr>
        <w:tblW w:type="auto" w:w="0"/>
        <w:jc w:val="center"/>
        <w:tblLook w:firstColumn="1" w:firstRow="1" w:lastColumn="0" w:lastRow="0" w:noHBand="0" w:noVBand="1" w:val="04A0"/>
      </w:tblPr>
      <w:tblGrid>
        <w:gridCol w:w="4320"/>
        <w:gridCol w:w="4320"/>
      </w:tblGrid>
      <w:tr>
        <w:tc>
          <w:tcPr>
            <w:tcW w:type="dxa" w:w="4320"/>
            <w:shd w:fill="F2F2F2"/>
          </w:tcPr>
          <w:p>
            <w:r>
              <w:rPr>
                <w:b/>
              </w:rPr>
              <w:t>Abbreviation</w:t>
            </w:r>
          </w:p>
        </w:tc>
        <w:tc>
          <w:tcPr>
            <w:tcW w:type="dxa" w:w="4320"/>
            <w:shd w:fill="F2F2F2"/>
          </w:tcPr>
          <w:p>
            <w:r>
              <w:rPr>
                <w:b/>
              </w:rPr>
              <w:t>Full Name / Description</w:t>
            </w:r>
          </w:p>
        </w:tc>
      </w:tr>
      <w:tr>
        <w:tc>
          <w:tcPr>
            <w:tcW w:type="dxa" w:w="4320"/>
          </w:tcPr>
          <w:p>
            <w:r>
              <w:rPr>
                <w:b/>
              </w:rPr>
              <w:t>API</w:t>
            </w:r>
          </w:p>
        </w:tc>
        <w:tc>
          <w:tcPr>
            <w:tcW w:type="dxa" w:w="4320"/>
          </w:tcPr>
          <w:p>
            <w:r>
              <w:t>Application Programming Interface</w:t>
            </w:r>
          </w:p>
        </w:tc>
      </w:tr>
      <w:tr>
        <w:tc>
          <w:tcPr>
            <w:tcW w:type="dxa" w:w="4320"/>
          </w:tcPr>
          <w:p>
            <w:r>
              <w:rPr>
                <w:b/>
              </w:rPr>
              <w:t>AES</w:t>
            </w:r>
          </w:p>
        </w:tc>
        <w:tc>
          <w:tcPr>
            <w:tcW w:type="dxa" w:w="4320"/>
          </w:tcPr>
          <w:p>
            <w:r>
              <w:t>Advanced Encryption Standard (AES-256-GCM)</w:t>
            </w:r>
          </w:p>
        </w:tc>
      </w:tr>
      <w:tr>
        <w:tc>
          <w:tcPr>
            <w:tcW w:type="dxa" w:w="4320"/>
          </w:tcPr>
          <w:p>
            <w:r>
              <w:rPr>
                <w:b/>
              </w:rPr>
              <w:t>BM25</w:t>
            </w:r>
          </w:p>
        </w:tc>
        <w:tc>
          <w:tcPr>
            <w:tcW w:type="dxa" w:w="4320"/>
          </w:tcPr>
          <w:p>
            <w:r>
              <w:t>Best Matching 25 Lexical Ranking Algorithm</w:t>
            </w:r>
          </w:p>
        </w:tc>
      </w:tr>
      <w:tr>
        <w:tc>
          <w:tcPr>
            <w:tcW w:type="dxa" w:w="4320"/>
          </w:tcPr>
          <w:p>
            <w:r>
              <w:rPr>
                <w:b/>
              </w:rPr>
              <w:t>CPU</w:t>
            </w:r>
          </w:p>
        </w:tc>
        <w:tc>
          <w:tcPr>
            <w:tcW w:type="dxa" w:w="4320"/>
          </w:tcPr>
          <w:p>
            <w:r>
              <w:t>Central Processing Unit</w:t>
            </w:r>
          </w:p>
        </w:tc>
      </w:tr>
      <w:tr>
        <w:tc>
          <w:tcPr>
            <w:tcW w:type="dxa" w:w="4320"/>
          </w:tcPr>
          <w:p>
            <w:r>
              <w:rPr>
                <w:b/>
              </w:rPr>
              <w:t>DFD</w:t>
            </w:r>
          </w:p>
        </w:tc>
        <w:tc>
          <w:tcPr>
            <w:tcW w:type="dxa" w:w="4320"/>
          </w:tcPr>
          <w:p>
            <w:r>
              <w:t>Data Flow Diagram</w:t>
            </w:r>
          </w:p>
        </w:tc>
      </w:tr>
      <w:tr>
        <w:tc>
          <w:tcPr>
            <w:tcW w:type="dxa" w:w="4320"/>
          </w:tcPr>
          <w:p>
            <w:r>
              <w:rPr>
                <w:b/>
              </w:rPr>
              <w:t>DLP</w:t>
            </w:r>
          </w:p>
        </w:tc>
        <w:tc>
          <w:tcPr>
            <w:tcW w:type="dxa" w:w="4320"/>
          </w:tcPr>
          <w:p>
            <w:r>
              <w:t>Data Leakage / Loss Prevention</w:t>
            </w:r>
          </w:p>
        </w:tc>
      </w:tr>
      <w:tr>
        <w:tc>
          <w:tcPr>
            <w:tcW w:type="dxa" w:w="4320"/>
          </w:tcPr>
          <w:p>
            <w:r>
              <w:rPr>
                <w:b/>
              </w:rPr>
              <w:t>ER</w:t>
            </w:r>
          </w:p>
        </w:tc>
        <w:tc>
          <w:tcPr>
            <w:tcW w:type="dxa" w:w="4320"/>
          </w:tcPr>
          <w:p>
            <w:r>
              <w:t>Entity-Relationship</w:t>
            </w:r>
          </w:p>
        </w:tc>
      </w:tr>
      <w:tr>
        <w:tc>
          <w:tcPr>
            <w:tcW w:type="dxa" w:w="4320"/>
          </w:tcPr>
          <w:p>
            <w:r>
              <w:rPr>
                <w:b/>
              </w:rPr>
              <w:t>GDPR</w:t>
            </w:r>
          </w:p>
        </w:tc>
        <w:tc>
          <w:tcPr>
            <w:tcW w:type="dxa" w:w="4320"/>
          </w:tcPr>
          <w:p>
            <w:r>
              <w:t>General Data Protection Regulation</w:t>
            </w:r>
          </w:p>
        </w:tc>
      </w:tr>
      <w:tr>
        <w:tc>
          <w:tcPr>
            <w:tcW w:type="dxa" w:w="4320"/>
          </w:tcPr>
          <w:p>
            <w:r>
              <w:rPr>
                <w:b/>
              </w:rPr>
              <w:t>GPU</w:t>
            </w:r>
          </w:p>
        </w:tc>
        <w:tc>
          <w:tcPr>
            <w:tcW w:type="dxa" w:w="4320"/>
          </w:tcPr>
          <w:p>
            <w:r>
              <w:t>Graphics Processing Unit</w:t>
            </w:r>
          </w:p>
        </w:tc>
      </w:tr>
      <w:tr>
        <w:tc>
          <w:tcPr>
            <w:tcW w:type="dxa" w:w="4320"/>
          </w:tcPr>
          <w:p>
            <w:r>
              <w:rPr>
                <w:b/>
              </w:rPr>
              <w:t>HMAC</w:t>
            </w:r>
          </w:p>
        </w:tc>
        <w:tc>
          <w:tcPr>
            <w:tcW w:type="dxa" w:w="4320"/>
          </w:tcPr>
          <w:p>
            <w:r>
              <w:t>Hash-based Message Authentication Code (SHA-256)</w:t>
            </w:r>
          </w:p>
        </w:tc>
      </w:tr>
      <w:tr>
        <w:tc>
          <w:tcPr>
            <w:tcW w:type="dxa" w:w="4320"/>
          </w:tcPr>
          <w:p>
            <w:r>
              <w:rPr>
                <w:b/>
              </w:rPr>
              <w:t>IBAN</w:t>
            </w:r>
          </w:p>
        </w:tc>
        <w:tc>
          <w:tcPr>
            <w:tcW w:type="dxa" w:w="4320"/>
          </w:tcPr>
          <w:p>
            <w:r>
              <w:t>International Bank Account Number</w:t>
            </w:r>
          </w:p>
        </w:tc>
      </w:tr>
      <w:tr>
        <w:tc>
          <w:tcPr>
            <w:tcW w:type="dxa" w:w="4320"/>
          </w:tcPr>
          <w:p>
            <w:r>
              <w:rPr>
                <w:b/>
              </w:rPr>
              <w:t>KMS</w:t>
            </w:r>
          </w:p>
        </w:tc>
        <w:tc>
          <w:tcPr>
            <w:tcW w:type="dxa" w:w="4320"/>
          </w:tcPr>
          <w:p>
            <w:r>
              <w:t>Key Management Service</w:t>
            </w:r>
          </w:p>
        </w:tc>
      </w:tr>
      <w:tr>
        <w:tc>
          <w:tcPr>
            <w:tcW w:type="dxa" w:w="4320"/>
          </w:tcPr>
          <w:p>
            <w:r>
              <w:rPr>
                <w:b/>
              </w:rPr>
              <w:t>KYC</w:t>
            </w:r>
          </w:p>
        </w:tc>
        <w:tc>
          <w:tcPr>
            <w:tcW w:type="dxa" w:w="4320"/>
          </w:tcPr>
          <w:p>
            <w:r>
              <w:t>Know Your Customer Verification Document</w:t>
            </w:r>
          </w:p>
        </w:tc>
      </w:tr>
      <w:tr>
        <w:tc>
          <w:tcPr>
            <w:tcW w:type="dxa" w:w="4320"/>
          </w:tcPr>
          <w:p>
            <w:r>
              <w:rPr>
                <w:b/>
              </w:rPr>
              <w:t>LLM</w:t>
            </w:r>
          </w:p>
        </w:tc>
        <w:tc>
          <w:tcPr>
            <w:tcW w:type="dxa" w:w="4320"/>
          </w:tcPr>
          <w:p>
            <w:r>
              <w:t>Large Language Model</w:t>
            </w:r>
          </w:p>
        </w:tc>
      </w:tr>
      <w:tr>
        <w:tc>
          <w:tcPr>
            <w:tcW w:type="dxa" w:w="4320"/>
          </w:tcPr>
          <w:p>
            <w:r>
              <w:rPr>
                <w:b/>
              </w:rPr>
              <w:t>NER</w:t>
            </w:r>
          </w:p>
        </w:tc>
        <w:tc>
          <w:tcPr>
            <w:tcW w:type="dxa" w:w="4320"/>
          </w:tcPr>
          <w:p>
            <w:r>
              <w:t>Named Entity Recognition</w:t>
            </w:r>
          </w:p>
        </w:tc>
      </w:tr>
      <w:tr>
        <w:tc>
          <w:tcPr>
            <w:tcW w:type="dxa" w:w="4320"/>
          </w:tcPr>
          <w:p>
            <w:r>
              <w:rPr>
                <w:b/>
              </w:rPr>
              <w:t>NLP</w:t>
            </w:r>
          </w:p>
        </w:tc>
        <w:tc>
          <w:tcPr>
            <w:tcW w:type="dxa" w:w="4320"/>
          </w:tcPr>
          <w:p>
            <w:r>
              <w:t>Natural Language Processing</w:t>
            </w:r>
          </w:p>
        </w:tc>
      </w:tr>
      <w:tr>
        <w:tc>
          <w:tcPr>
            <w:tcW w:type="dxa" w:w="4320"/>
          </w:tcPr>
          <w:p>
            <w:r>
              <w:rPr>
                <w:b/>
              </w:rPr>
              <w:t>OCR</w:t>
            </w:r>
          </w:p>
        </w:tc>
        <w:tc>
          <w:tcPr>
            <w:tcW w:type="dxa" w:w="4320"/>
          </w:tcPr>
          <w:p>
            <w:r>
              <w:t>Optical Character Recognition (PyMuPDF / EasyOCR)</w:t>
            </w:r>
          </w:p>
        </w:tc>
      </w:tr>
      <w:tr>
        <w:tc>
          <w:tcPr>
            <w:tcW w:type="dxa" w:w="4320"/>
          </w:tcPr>
          <w:p>
            <w:r>
              <w:rPr>
                <w:b/>
              </w:rPr>
              <w:t>ONNX</w:t>
            </w:r>
          </w:p>
        </w:tc>
        <w:tc>
          <w:tcPr>
            <w:tcW w:type="dxa" w:w="4320"/>
          </w:tcPr>
          <w:p>
            <w:r>
              <w:t>Open Neural Network Exchange (Quantized INT8)</w:t>
            </w:r>
          </w:p>
        </w:tc>
      </w:tr>
      <w:tr>
        <w:tc>
          <w:tcPr>
            <w:tcW w:type="dxa" w:w="4320"/>
          </w:tcPr>
          <w:p>
            <w:r>
              <w:rPr>
                <w:b/>
              </w:rPr>
              <w:t>PAN</w:t>
            </w:r>
          </w:p>
        </w:tc>
        <w:tc>
          <w:tcPr>
            <w:tcW w:type="dxa" w:w="4320"/>
          </w:tcPr>
          <w:p>
            <w:r>
              <w:t>Primary Account Number (Credit/Debit Card)</w:t>
            </w:r>
          </w:p>
        </w:tc>
      </w:tr>
      <w:tr>
        <w:tc>
          <w:tcPr>
            <w:tcW w:type="dxa" w:w="4320"/>
          </w:tcPr>
          <w:p>
            <w:r>
              <w:rPr>
                <w:b/>
              </w:rPr>
              <w:t>PCI-DSS</w:t>
            </w:r>
          </w:p>
        </w:tc>
        <w:tc>
          <w:tcPr>
            <w:tcW w:type="dxa" w:w="4320"/>
          </w:tcPr>
          <w:p>
            <w:r>
              <w:t>Payment Card Industry Data Security Standard</w:t>
            </w:r>
          </w:p>
        </w:tc>
      </w:tr>
      <w:tr>
        <w:tc>
          <w:tcPr>
            <w:tcW w:type="dxa" w:w="4320"/>
          </w:tcPr>
          <w:p>
            <w:r>
              <w:rPr>
                <w:b/>
              </w:rPr>
              <w:t>PII</w:t>
            </w:r>
          </w:p>
        </w:tc>
        <w:tc>
          <w:tcPr>
            <w:tcW w:type="dxa" w:w="4320"/>
          </w:tcPr>
          <w:p>
            <w:r>
              <w:t>Personally Identifiable Information</w:t>
            </w:r>
          </w:p>
        </w:tc>
      </w:tr>
      <w:tr>
        <w:tc>
          <w:tcPr>
            <w:tcW w:type="dxa" w:w="4320"/>
          </w:tcPr>
          <w:p>
            <w:r>
              <w:rPr>
                <w:b/>
              </w:rPr>
              <w:t>RBAC</w:t>
            </w:r>
          </w:p>
        </w:tc>
        <w:tc>
          <w:tcPr>
            <w:tcW w:type="dxa" w:w="4320"/>
          </w:tcPr>
          <w:p>
            <w:r>
              <w:t>Role-Based Access Control</w:t>
            </w:r>
          </w:p>
        </w:tc>
      </w:tr>
      <w:tr>
        <w:tc>
          <w:tcPr>
            <w:tcW w:type="dxa" w:w="4320"/>
          </w:tcPr>
          <w:p>
            <w:r>
              <w:rPr>
                <w:b/>
              </w:rPr>
              <w:t>SIEM</w:t>
            </w:r>
          </w:p>
        </w:tc>
        <w:tc>
          <w:tcPr>
            <w:tcW w:type="dxa" w:w="4320"/>
          </w:tcPr>
          <w:p>
            <w:r>
              <w:t>Security Information and Event Management</w:t>
            </w:r>
          </w:p>
        </w:tc>
      </w:tr>
      <w:tr>
        <w:tc>
          <w:tcPr>
            <w:tcW w:type="dxa" w:w="4320"/>
          </w:tcPr>
          <w:p>
            <w:r>
              <w:rPr>
                <w:b/>
              </w:rPr>
              <w:t>SOC</w:t>
            </w:r>
          </w:p>
        </w:tc>
        <w:tc>
          <w:tcPr>
            <w:tcW w:type="dxa" w:w="4320"/>
          </w:tcPr>
          <w:p>
            <w:r>
              <w:t>Security Operations Center</w:t>
            </w:r>
          </w:p>
        </w:tc>
      </w:tr>
      <w:tr>
        <w:tc>
          <w:tcPr>
            <w:tcW w:type="dxa" w:w="4320"/>
          </w:tcPr>
          <w:p>
            <w:r>
              <w:rPr>
                <w:b/>
              </w:rPr>
              <w:t>SSN</w:t>
            </w:r>
          </w:p>
        </w:tc>
        <w:tc>
          <w:tcPr>
            <w:tcW w:type="dxa" w:w="4320"/>
          </w:tcPr>
          <w:p>
            <w:r>
              <w:t>Social Security Number / National Identity Number</w:t>
            </w:r>
          </w:p>
        </w:tc>
      </w:tr>
      <w:tr>
        <w:tc>
          <w:tcPr>
            <w:tcW w:type="dxa" w:w="4320"/>
          </w:tcPr>
          <w:p>
            <w:r>
              <w:rPr>
                <w:b/>
              </w:rPr>
              <w:t>SWIFT</w:t>
            </w:r>
          </w:p>
        </w:tc>
        <w:tc>
          <w:tcPr>
            <w:tcW w:type="dxa" w:w="4320"/>
          </w:tcPr>
          <w:p>
            <w:r>
              <w:t>Society for Worldwide Interbank Financial Telecommunication</w:t>
            </w:r>
          </w:p>
        </w:tc>
      </w:tr>
      <w:tr>
        <w:tc>
          <w:tcPr>
            <w:tcW w:type="dxa" w:w="4320"/>
          </w:tcPr>
          <w:p>
            <w:r>
              <w:rPr>
                <w:b/>
              </w:rPr>
              <w:t>UI</w:t>
            </w:r>
          </w:p>
        </w:tc>
        <w:tc>
          <w:tcPr>
            <w:tcW w:type="dxa" w:w="4320"/>
          </w:tcPr>
          <w:p>
            <w:r>
              <w:t>User Interface</w:t>
            </w:r>
          </w:p>
        </w:tc>
      </w:tr>
      <w:tr>
        <w:tc>
          <w:tcPr>
            <w:tcW w:type="dxa" w:w="4320"/>
          </w:tcPr>
          <w:p>
            <w:r>
              <w:rPr>
                <w:b/>
              </w:rPr>
              <w:t>UML</w:t>
            </w:r>
          </w:p>
        </w:tc>
        <w:tc>
          <w:tcPr>
            <w:tcW w:type="dxa" w:w="4320"/>
          </w:tcPr>
          <w:p>
            <w:r>
              <w:t>Unified Modeling Language</w:t>
            </w:r>
          </w:p>
        </w:tc>
      </w:tr>
    </w:tbl>
    <w:p>
      <w:pPr>
        <w:spacing w:before="720"/>
        <w:jc w:val="center"/>
      </w:pPr>
      <w:r>
        <w:rPr>
          <w:sz w:val="20"/>
        </w:rPr>
        <w:t>7</w:t>
      </w:r>
    </w:p>
    <w:p>
      <w:r>
        <w:br w:type="page"/>
      </w:r>
    </w:p>
    <w:p>
      <w:pPr>
        <w:spacing w:before="360" w:after="240"/>
      </w:pPr>
      <w:r>
        <w:rPr>
          <w:rFonts w:ascii="Times New Roman" w:hAnsi="Times New Roman"/>
          <w:b/>
          <w:sz w:val="32"/>
        </w:rPr>
        <w:t>Chapter 1</w:t>
        <w:br/>
        <w:t>Introduction</w:t>
      </w:r>
    </w:p>
    <w:p>
      <w:pPr>
        <w:spacing w:before="280" w:after="120"/>
      </w:pPr>
      <w:r>
        <w:rPr>
          <w:rFonts w:ascii="Times New Roman" w:hAnsi="Times New Roman"/>
          <w:b/>
          <w:sz w:val="28"/>
        </w:rPr>
        <w:t>1.1 Overview</w:t>
      </w:r>
    </w:p>
    <w:p>
      <w:pPr>
        <w:spacing w:line="360" w:lineRule="auto" w:after="120"/>
        <w:jc w:val="both"/>
      </w:pPr>
      <w:r>
        <w:rPr>
          <w:rFonts w:ascii="Times New Roman" w:hAnsi="Times New Roman"/>
          <w:i w:val="0"/>
          <w:sz w:val="24"/>
        </w:rPr>
        <w:t>In the modern financial ecosystem, banks and financial institutions process enormous volumes of confidential digital data daily. These records include customer Personally Identifiable Information (PII), Credit and Debit Card Primary Account Numbers (PAN), corporate wire transfer instructions, and internal audit reports. A single data leakage incident can result in catastrophic financial losses, multi-million dollar regulatory fines under PCI-DSS and GDPR, and severe reputational damage. SecureFlowAI is engineered as an intelligent, context-aware Data Leakage Prevention (DLP) framework designed to secure banking data across multiple operational touchpoints, including browser web forms, file uploads, and desktop clipboard operations.</w:t>
      </w:r>
    </w:p>
    <w:p>
      <w:pPr>
        <w:spacing w:before="280" w:after="120"/>
      </w:pPr>
      <w:r>
        <w:rPr>
          <w:rFonts w:ascii="Times New Roman" w:hAnsi="Times New Roman"/>
          <w:b/>
          <w:sz w:val="28"/>
        </w:rPr>
        <w:t>1.2 Motivation</w:t>
      </w:r>
    </w:p>
    <w:p>
      <w:pPr>
        <w:spacing w:line="360" w:lineRule="auto" w:after="120"/>
        <w:jc w:val="both"/>
      </w:pPr>
      <w:r>
        <w:rPr>
          <w:rFonts w:ascii="Times New Roman" w:hAnsi="Times New Roman"/>
          <w:i w:val="0"/>
          <w:sz w:val="24"/>
        </w:rPr>
        <w:t>With the widespread adoption of web-based core banking systems, digital communication channels, and remote banking portals, sensitive records are continually in motion. Traditional Data Leakage Prevention solutions deployed in corporate networks rely almost entirely on rigid regular expressions and static keyword lists. These legacy tools suffer from two crippling flaws: first, they are context-blind, flagging every 16-digit number as a credit card and generating hundreds of daily false alarms that overwhelm security teams and disrupt legitimate business operations; second, they cannot detect sensitive data embedded inside unstructured text, financial spreadsheets, or scanned image documents such as Know Your Customer (KYC) identity cards. SecureFlowAI is motivated by the critical need for a low-latency, hybrid DLP system that combines high-precision mathematical checksums with lightweight Transformer language models to accurately differentiate between benign corporate activity and genuine data theft.</w:t>
      </w:r>
    </w:p>
    <w:p>
      <w:pPr>
        <w:spacing w:before="280" w:after="120"/>
      </w:pPr>
      <w:r>
        <w:rPr>
          <w:rFonts w:ascii="Times New Roman" w:hAnsi="Times New Roman"/>
          <w:b/>
          <w:sz w:val="28"/>
        </w:rPr>
        <w:t>1.3 Problem Statement and Objectives</w:t>
      </w:r>
    </w:p>
    <w:p>
      <w:pPr>
        <w:spacing w:before="200" w:after="80"/>
      </w:pPr>
      <w:r>
        <w:rPr>
          <w:rFonts w:ascii="Times New Roman" w:hAnsi="Times New Roman"/>
          <w:b/>
          <w:sz w:val="24"/>
        </w:rPr>
        <w:t>1.3.1 Problem Statement:</w:t>
      </w:r>
    </w:p>
    <w:p>
      <w:pPr>
        <w:spacing w:line="360" w:lineRule="auto" w:after="120"/>
        <w:jc w:val="both"/>
      </w:pPr>
      <w:r>
        <w:rPr>
          <w:rFonts w:ascii="Times New Roman" w:hAnsi="Times New Roman"/>
          <w:i w:val="0"/>
          <w:sz w:val="24"/>
        </w:rPr>
        <w:t>Traditional rule-based DLP systems within the banking sector lack semantic context, produce unacceptable false positive rates on benign operational data, fail to inspect non-selectable text in scanned images and documents, and rely on rigid pass/fail actions that disrupt employee workflows. Furthermore, existing solutions fail to provide auditable, tamper-proof governance trails required by modern financial regulators.</w:t>
      </w:r>
    </w:p>
    <w:p>
      <w:pPr>
        <w:spacing w:before="200" w:after="80"/>
      </w:pPr>
      <w:r>
        <w:rPr>
          <w:rFonts w:ascii="Times New Roman" w:hAnsi="Times New Roman"/>
          <w:b/>
          <w:sz w:val="24"/>
        </w:rPr>
        <w:t>1.3.2 Objectives:</w:t>
      </w:r>
    </w:p>
    <w:p>
      <w:pPr>
        <w:pStyle w:val="ListBullet"/>
        <w:spacing w:line="360" w:lineRule="auto" w:after="80"/>
        <w:jc w:val="both"/>
      </w:pPr>
      <w:r>
        <w:rPr>
          <w:rFonts w:ascii="Times New Roman" w:hAnsi="Times New Roman"/>
          <w:b/>
          <w:sz w:val="24"/>
        </w:rPr>
        <w:t xml:space="preserve">1. Multi-Touchpoint Interception: </w:t>
      </w:r>
      <w:r>
        <w:rPr>
          <w:rFonts w:ascii="Times New Roman" w:hAnsi="Times New Roman"/>
          <w:sz w:val="24"/>
        </w:rPr>
        <w:t>Develop client-side interceptors across browser paste events (Chrome/Edge Manifest V3 extension), desktop clipboard buffers, and file uploads to capture outbound data transfers before transmission.</w:t>
      </w:r>
    </w:p>
    <w:p>
      <w:pPr>
        <w:pStyle w:val="ListBullet"/>
        <w:spacing w:line="360" w:lineRule="auto" w:after="80"/>
        <w:jc w:val="both"/>
      </w:pPr>
      <w:r>
        <w:rPr>
          <w:rFonts w:ascii="Times New Roman" w:hAnsi="Times New Roman"/>
          <w:b/>
          <w:sz w:val="24"/>
        </w:rPr>
        <w:t xml:space="preserve">2. Hybrid Detection Pipeline: </w:t>
      </w:r>
      <w:r>
        <w:rPr>
          <w:rFonts w:ascii="Times New Roman" w:hAnsi="Times New Roman"/>
          <w:sz w:val="24"/>
        </w:rPr>
        <w:t>Combine fast deterministic mathematical checksums (Luhn algorithm for credit cards and ISO 7064 MOD-97 checks for IBANs) with a quantized encoder Transformer model for contextual 3-tier classification (Safe, Confidential, Restricted).</w:t>
      </w:r>
    </w:p>
    <w:p>
      <w:pPr>
        <w:pStyle w:val="ListBullet"/>
        <w:spacing w:line="360" w:lineRule="auto" w:after="80"/>
        <w:jc w:val="both"/>
      </w:pPr>
      <w:r>
        <w:rPr>
          <w:rFonts w:ascii="Times New Roman" w:hAnsi="Times New Roman"/>
          <w:b/>
          <w:sz w:val="24"/>
        </w:rPr>
        <w:t xml:space="preserve">3. Optical Character Recognition (OCR) Integration: </w:t>
      </w:r>
      <w:r>
        <w:rPr>
          <w:rFonts w:ascii="Times New Roman" w:hAnsi="Times New Roman"/>
          <w:sz w:val="24"/>
        </w:rPr>
        <w:t>Implement an in-memory document parsing and OCR pipeline to extract and inspect text from scanned KYC documents, checks, and image screenshots without external operating system dependencies.</w:t>
      </w:r>
    </w:p>
    <w:p>
      <w:pPr>
        <w:pStyle w:val="ListBullet"/>
        <w:spacing w:line="360" w:lineRule="auto" w:after="80"/>
        <w:jc w:val="both"/>
      </w:pPr>
      <w:r>
        <w:rPr>
          <w:rFonts w:ascii="Times New Roman" w:hAnsi="Times New Roman"/>
          <w:b/>
          <w:sz w:val="24"/>
        </w:rPr>
        <w:t xml:space="preserve">4. Contextual Dynamic Risk Scoring: </w:t>
      </w:r>
      <w:r>
        <w:rPr>
          <w:rFonts w:ascii="Times New Roman" w:hAnsi="Times New Roman"/>
          <w:sz w:val="24"/>
        </w:rPr>
        <w:t>Formulate a multi-factor risk scoring engine (0 to 100) combining content classification, sensitive entity density, and destination domain trust levels.</w:t>
      </w:r>
    </w:p>
    <w:p>
      <w:pPr>
        <w:pStyle w:val="ListBullet"/>
        <w:spacing w:line="360" w:lineRule="auto" w:after="80"/>
        <w:jc w:val="both"/>
      </w:pPr>
      <w:r>
        <w:rPr>
          <w:rFonts w:ascii="Times New Roman" w:hAnsi="Times New Roman"/>
          <w:b/>
          <w:sz w:val="24"/>
        </w:rPr>
        <w:t xml:space="preserve">5. Automated Cryptographic Remediation: </w:t>
      </w:r>
      <w:r>
        <w:rPr>
          <w:rFonts w:ascii="Times New Roman" w:hAnsi="Times New Roman"/>
          <w:sz w:val="24"/>
        </w:rPr>
        <w:t>Implement automated responses: allow safe business traffic, perform format-preserving reverse-offset masking for moderate risks, enforce AES-256-GCM envelope encryption for confidential files, and block critical data exfiltration attempts in real time.</w:t>
      </w:r>
    </w:p>
    <w:p>
      <w:pPr>
        <w:pStyle w:val="ListBullet"/>
        <w:spacing w:line="360" w:lineRule="auto" w:after="80"/>
        <w:jc w:val="both"/>
      </w:pPr>
      <w:r>
        <w:rPr>
          <w:rFonts w:ascii="Times New Roman" w:hAnsi="Times New Roman"/>
          <w:b/>
          <w:sz w:val="24"/>
        </w:rPr>
        <w:t xml:space="preserve">6. Regulatory Governance &amp; SOC Dashboard: </w:t>
      </w:r>
      <w:r>
        <w:rPr>
          <w:rFonts w:ascii="Times New Roman" w:hAnsi="Times New Roman"/>
          <w:sz w:val="24"/>
        </w:rPr>
        <w:t>Provide a centralized administrative dashboard backed by an immutable PostgreSQL audit trail to ensure compliance with PCI-DSS v4.0 and GDPR Article 30/33 requirements.</w:t>
      </w:r>
    </w:p>
    <w:p>
      <w:pPr>
        <w:spacing w:before="280" w:after="120"/>
      </w:pPr>
      <w:r>
        <w:rPr>
          <w:rFonts w:ascii="Times New Roman" w:hAnsi="Times New Roman"/>
          <w:b/>
          <w:sz w:val="28"/>
        </w:rPr>
        <w:t>1.4 Scope</w:t>
      </w:r>
    </w:p>
    <w:p>
      <w:pPr>
        <w:spacing w:line="360" w:lineRule="auto" w:after="120"/>
        <w:jc w:val="both"/>
      </w:pPr>
      <w:r>
        <w:rPr>
          <w:rFonts w:ascii="Times New Roman" w:hAnsi="Times New Roman"/>
          <w:i w:val="0"/>
          <w:sz w:val="24"/>
        </w:rPr>
        <w:t>The operational scope of SecureFlowAI encompasses real-time data leakage prevention across endpoints and web browsers operating within a financial institution's intranet. The system inspects plain text inputs, office documents (.docx, .xlsx, .pdf), and clipboard transactions. It operates on the principle of zero cloud data egress, executing all parsing, machine learning inference, and cryptographic operations locally on host CPUs. The system does not attempt to break or inspect pre-encrypted third-party network streams (such as encrypted external messaging services) and instead focuses on securing data at the source before transmission outside the enterprise perimeter.</w:t>
      </w:r>
    </w:p>
    <w:p>
      <w:pPr>
        <w:spacing w:before="280" w:after="120"/>
      </w:pPr>
      <w:r>
        <w:rPr>
          <w:rFonts w:ascii="Times New Roman" w:hAnsi="Times New Roman"/>
          <w:b/>
          <w:sz w:val="28"/>
        </w:rPr>
        <w:t>1.5 Organization of the Report</w:t>
      </w:r>
    </w:p>
    <w:p>
      <w:pPr>
        <w:spacing w:line="360" w:lineRule="auto" w:after="120"/>
        <w:jc w:val="both"/>
      </w:pPr>
      <w:r>
        <w:rPr>
          <w:rFonts w:ascii="Times New Roman" w:hAnsi="Times New Roman"/>
          <w:i w:val="0"/>
          <w:sz w:val="24"/>
        </w:rPr>
        <w:t>The remainder of this report is organized as follows: Chapter 2 presents a comprehensive Literature Survey, analyzing existing DLP methodologies and articulating identified research gaps. Chapter 3 presents the Proposed System architecture, system components, algorithm design, and hardware/software specifications. Chapter 4 provides the Design and Methodology, detailing Entity-Relationship (ER) diagrams, UML activity flows, Level 1 Data Flow Diagrams (DFD), and algorithmic implementations. Chapter 5 discusses the Implementation, experimental results, and metric evaluations. Finally, Chapter 6 concludes the report and outlines future research directions.</w:t>
      </w:r>
    </w:p>
    <w:p>
      <w:pPr>
        <w:spacing w:before="160" w:after="80"/>
        <w:jc w:val="center"/>
      </w:pPr>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fig1_1_gantt.png"/>
                    <pic:cNvPicPr/>
                  </pic:nvPicPr>
                  <pic:blipFill>
                    <a:blip r:embed="rId10"/>
                    <a:stretch>
                      <a:fillRect/>
                    </a:stretch>
                  </pic:blipFill>
                  <pic:spPr>
                    <a:xfrm>
                      <a:off x="0" y="0"/>
                      <a:ext cx="5486400" cy="2468880"/>
                    </a:xfrm>
                    <a:prstGeom prst="rect"/>
                  </pic:spPr>
                </pic:pic>
              </a:graphicData>
            </a:graphic>
          </wp:inline>
        </w:drawing>
      </w:r>
    </w:p>
    <w:p>
      <w:pPr>
        <w:spacing w:after="240"/>
        <w:jc w:val="center"/>
      </w:pPr>
      <w:r>
        <w:rPr>
          <w:rFonts w:ascii="Times New Roman" w:hAnsi="Times New Roman"/>
          <w:b/>
          <w:sz w:val="21"/>
        </w:rPr>
        <w:t>Figure 1.1: Project Schedule — Gantt Chart</w:t>
      </w:r>
    </w:p>
    <w:p>
      <w:r>
        <w:br w:type="page"/>
      </w:r>
    </w:p>
    <w:p>
      <w:pPr>
        <w:spacing w:before="360" w:after="240"/>
      </w:pPr>
      <w:r>
        <w:rPr>
          <w:rFonts w:ascii="Times New Roman" w:hAnsi="Times New Roman"/>
          <w:b/>
          <w:sz w:val="32"/>
        </w:rPr>
        <w:t>Chapter 2</w:t>
        <w:br/>
        <w:t>Literature Survey</w:t>
      </w:r>
    </w:p>
    <w:p>
      <w:pPr>
        <w:spacing w:line="360" w:lineRule="auto" w:after="120"/>
        <w:jc w:val="both"/>
      </w:pPr>
      <w:r>
        <w:rPr>
          <w:rFonts w:ascii="Times New Roman" w:hAnsi="Times New Roman"/>
          <w:i w:val="0"/>
          <w:sz w:val="24"/>
        </w:rPr>
        <w:t>Data Leakage Prevention (DLP) has evolved significantly over the past decade. Early research focused primarily on static signature detection, pattern matching, and network perimeter filtering. In recent years, researchers have incorporated machine learning, natural language processing, and cryptographic techniques to address the limitations of keyword-based systems.</w:t>
      </w:r>
    </w:p>
    <w:p>
      <w:pPr>
        <w:spacing w:before="280" w:after="120"/>
      </w:pPr>
      <w:r>
        <w:rPr>
          <w:rFonts w:ascii="Times New Roman" w:hAnsi="Times New Roman"/>
          <w:b/>
          <w:sz w:val="28"/>
        </w:rPr>
        <w:t>2.1 Survey of Existing System</w:t>
      </w:r>
    </w:p>
    <w:p>
      <w:pPr>
        <w:spacing w:line="360" w:lineRule="auto" w:after="120"/>
        <w:jc w:val="both"/>
      </w:pPr>
      <w:r>
        <w:rPr>
          <w:rFonts w:ascii="Times New Roman" w:hAnsi="Times New Roman"/>
          <w:i w:val="0"/>
          <w:sz w:val="24"/>
        </w:rPr>
        <w:t>Hauer (2015) conducted an empirical investigation into enterprise content-aware DLP systems by analyzing real-world data breach records. The author established that signature-based DLP tools fail to detect many common leakage incidents because enterprise threat taxonomies are overly coarse and incapable of capturing contextual nuances. Kaur et al. (2017) conducted a comparative evaluation of DLP systems spanning data-at-rest, data-in-motion, and data-in-use. Their findings identified several critical barriers, including the heavy maintenance overhead of regular expressions, the inability to scan graphical images and screenshots, and the lack of unified multi-platform implementations. Ghouse et al. (2019) proposed an AI-driven framework that classifies in-transit text as confidential or non-confidential using machine learning and applies selective encryption to sensitive email bodies. While effective for simple text messages, their approach did not address file attachments, optical character recognition, risk scoring, or centralized audit governance. Abid (2024) reviewed modern DLP advancements, emphasizing the integration of Zero Trust network architectures and Cloud-native DLP, while observing that practical end-to-end implementations that balance security with real-time employee productivity remain scarce.</w:t>
      </w:r>
    </w:p>
    <w:p>
      <w:pPr>
        <w:spacing w:before="200" w:after="80"/>
      </w:pPr>
      <w:r>
        <w:rPr>
          <w:rFonts w:ascii="Times New Roman" w:hAnsi="Times New Roman"/>
          <w:b/>
          <w:sz w:val="24"/>
        </w:rPr>
        <w:t>2.1.1 Comparative Analysis of Existing Systems</w:t>
      </w:r>
    </w:p>
    <w:p>
      <w:pPr>
        <w:spacing w:line="360" w:lineRule="auto" w:after="120"/>
        <w:jc w:val="both"/>
      </w:pPr>
      <w:r>
        <w:rPr>
          <w:rFonts w:ascii="Times New Roman" w:hAnsi="Times New Roman"/>
          <w:i w:val="0"/>
          <w:sz w:val="24"/>
        </w:rPr>
        <w:t>Table 2.1 summarizes the comparative analysis of foundational research in Data Leakage Prevention and highlights the specific research gaps addressed by SecureFlowAI.</w:t>
      </w:r>
    </w:p>
    <w:tbl>
      <w:tblPr>
        <w:tblW w:type="auto" w:w="0"/>
        <w:jc w:val="center"/>
        <w:tblLook w:firstColumn="1" w:firstRow="1" w:lastColumn="0" w:lastRow="0" w:noHBand="0" w:noVBand="1" w:val="04A0"/>
      </w:tblPr>
      <w:tblGrid>
        <w:gridCol w:w="2160"/>
        <w:gridCol w:w="2160"/>
        <w:gridCol w:w="2160"/>
        <w:gridCol w:w="2160"/>
      </w:tblGrid>
      <w:tr>
        <w:tc>
          <w:tcPr>
            <w:tcW w:type="dxa" w:w="2160"/>
            <w:shd w:fill="F2F2F2"/>
            <w:tcMar>
              <w:top w:w="80" w:type="dxa"/>
              <w:bottom w:w="80" w:type="dxa"/>
              <w:left w:w="100" w:type="dxa"/>
              <w:right w:w="100" w:type="dxa"/>
            </w:tcMar>
          </w:tcPr>
          <w:p>
            <w:r>
              <w:rPr>
                <w:b/>
              </w:rPr>
              <w:t>Sr. No.</w:t>
            </w:r>
          </w:p>
        </w:tc>
        <w:tc>
          <w:tcPr>
            <w:tcW w:type="dxa" w:w="2160"/>
            <w:shd w:fill="F2F2F2"/>
            <w:tcMar>
              <w:top w:w="80" w:type="dxa"/>
              <w:bottom w:w="80" w:type="dxa"/>
              <w:left w:w="100" w:type="dxa"/>
              <w:right w:w="100" w:type="dxa"/>
            </w:tcMar>
          </w:tcPr>
          <w:p>
            <w:r>
              <w:rPr>
                <w:b/>
              </w:rPr>
              <w:t>Author(s) &amp; Year</w:t>
            </w:r>
          </w:p>
        </w:tc>
        <w:tc>
          <w:tcPr>
            <w:tcW w:type="dxa" w:w="2160"/>
            <w:shd w:fill="F2F2F2"/>
            <w:tcMar>
              <w:top w:w="80" w:type="dxa"/>
              <w:bottom w:w="80" w:type="dxa"/>
              <w:left w:w="100" w:type="dxa"/>
              <w:right w:w="100" w:type="dxa"/>
            </w:tcMar>
          </w:tcPr>
          <w:p>
            <w:r>
              <w:rPr>
                <w:b/>
              </w:rPr>
              <w:t>Method Used</w:t>
            </w:r>
          </w:p>
        </w:tc>
        <w:tc>
          <w:tcPr>
            <w:tcW w:type="dxa" w:w="2160"/>
            <w:shd w:fill="F2F2F2"/>
            <w:tcMar>
              <w:top w:w="80" w:type="dxa"/>
              <w:bottom w:w="80" w:type="dxa"/>
              <w:left w:w="100" w:type="dxa"/>
              <w:right w:w="100" w:type="dxa"/>
            </w:tcMar>
          </w:tcPr>
          <w:p>
            <w:r>
              <w:rPr>
                <w:b/>
              </w:rPr>
              <w:t>Key Findings &amp; Identified Gaps</w:t>
            </w:r>
          </w:p>
        </w:tc>
      </w:tr>
      <w:tr>
        <w:tc>
          <w:tcPr>
            <w:tcW w:type="dxa" w:w="2160"/>
            <w:tcMar>
              <w:top w:w="60" w:type="dxa"/>
              <w:bottom w:w="60" w:type="dxa"/>
              <w:left w:w="100" w:type="dxa"/>
              <w:right w:w="100" w:type="dxa"/>
            </w:tcMar>
          </w:tcPr>
          <w:p>
            <w:r>
              <w:t>1</w:t>
            </w:r>
          </w:p>
        </w:tc>
        <w:tc>
          <w:tcPr>
            <w:tcW w:type="dxa" w:w="2160"/>
            <w:tcMar>
              <w:top w:w="60" w:type="dxa"/>
              <w:bottom w:w="60" w:type="dxa"/>
              <w:left w:w="100" w:type="dxa"/>
              <w:right w:w="100" w:type="dxa"/>
            </w:tcMar>
          </w:tcPr>
          <w:p>
            <w:r>
              <w:t>Hauer (2015) [IEEE Access]</w:t>
            </w:r>
          </w:p>
        </w:tc>
        <w:tc>
          <w:tcPr>
            <w:tcW w:type="dxa" w:w="2160"/>
            <w:tcMar>
              <w:top w:w="60" w:type="dxa"/>
              <w:bottom w:w="60" w:type="dxa"/>
              <w:left w:w="100" w:type="dxa"/>
              <w:right w:w="100" w:type="dxa"/>
            </w:tcMar>
          </w:tcPr>
          <w:p>
            <w:r>
              <w:t>Content-aware signature DLP analysis on enterprise breach records.</w:t>
            </w:r>
          </w:p>
        </w:tc>
        <w:tc>
          <w:tcPr>
            <w:tcW w:type="dxa" w:w="2160"/>
            <w:tcMar>
              <w:top w:w="60" w:type="dxa"/>
              <w:bottom w:w="60" w:type="dxa"/>
              <w:left w:w="100" w:type="dxa"/>
              <w:right w:w="100" w:type="dxa"/>
            </w:tcMar>
          </w:tcPr>
          <w:p>
            <w:r>
              <w:t>Signature systems fail on complex leak scenarios; taxonomy is too coarse; lacks an implemented ML pipeline.</w:t>
            </w:r>
          </w:p>
        </w:tc>
      </w:tr>
      <w:tr>
        <w:tc>
          <w:tcPr>
            <w:tcW w:type="dxa" w:w="2160"/>
            <w:tcMar>
              <w:top w:w="60" w:type="dxa"/>
              <w:bottom w:w="60" w:type="dxa"/>
              <w:left w:w="100" w:type="dxa"/>
              <w:right w:w="100" w:type="dxa"/>
            </w:tcMar>
          </w:tcPr>
          <w:p>
            <w:r>
              <w:t>2</w:t>
            </w:r>
          </w:p>
        </w:tc>
        <w:tc>
          <w:tcPr>
            <w:tcW w:type="dxa" w:w="2160"/>
            <w:tcMar>
              <w:top w:w="60" w:type="dxa"/>
              <w:bottom w:w="60" w:type="dxa"/>
              <w:left w:w="100" w:type="dxa"/>
              <w:right w:w="100" w:type="dxa"/>
            </w:tcMar>
          </w:tcPr>
          <w:p>
            <w:r>
              <w:t>Kaur et al. (2017) [CS &amp; IT-CSCP]</w:t>
            </w:r>
          </w:p>
        </w:tc>
        <w:tc>
          <w:tcPr>
            <w:tcW w:type="dxa" w:w="2160"/>
            <w:tcMar>
              <w:top w:w="60" w:type="dxa"/>
              <w:bottom w:w="60" w:type="dxa"/>
              <w:left w:w="100" w:type="dxa"/>
              <w:right w:w="100" w:type="dxa"/>
            </w:tcMar>
          </w:tcPr>
          <w:p>
            <w:r>
              <w:t>Comparative survey of signature, statistical, and specification-based DLP.</w:t>
            </w:r>
          </w:p>
        </w:tc>
        <w:tc>
          <w:tcPr>
            <w:tcW w:type="dxa" w:w="2160"/>
            <w:tcMar>
              <w:top w:w="60" w:type="dxa"/>
              <w:bottom w:w="60" w:type="dxa"/>
              <w:left w:w="100" w:type="dxa"/>
              <w:right w:w="100" w:type="dxa"/>
            </w:tcMar>
          </w:tcPr>
          <w:p>
            <w:r>
              <w:t>Manual regex rules require constant tuning; image files and screenshots are not scanned; cross-OS limitations.</w:t>
            </w:r>
          </w:p>
        </w:tc>
      </w:tr>
      <w:tr>
        <w:tc>
          <w:tcPr>
            <w:tcW w:type="dxa" w:w="2160"/>
            <w:tcMar>
              <w:top w:w="60" w:type="dxa"/>
              <w:bottom w:w="60" w:type="dxa"/>
              <w:left w:w="100" w:type="dxa"/>
              <w:right w:w="100" w:type="dxa"/>
            </w:tcMar>
          </w:tcPr>
          <w:p>
            <w:r>
              <w:t>3</w:t>
            </w:r>
          </w:p>
        </w:tc>
        <w:tc>
          <w:tcPr>
            <w:tcW w:type="dxa" w:w="2160"/>
            <w:tcMar>
              <w:top w:w="60" w:type="dxa"/>
              <w:bottom w:w="60" w:type="dxa"/>
              <w:left w:w="100" w:type="dxa"/>
              <w:right w:w="100" w:type="dxa"/>
            </w:tcMar>
          </w:tcPr>
          <w:p>
            <w:r>
              <w:t>Ghouse et al. (2019) [IEEE ICAC3]</w:t>
            </w:r>
          </w:p>
        </w:tc>
        <w:tc>
          <w:tcPr>
            <w:tcW w:type="dxa" w:w="2160"/>
            <w:tcMar>
              <w:top w:w="60" w:type="dxa"/>
              <w:bottom w:w="60" w:type="dxa"/>
              <w:left w:w="100" w:type="dxa"/>
              <w:right w:w="100" w:type="dxa"/>
            </w:tcMar>
          </w:tcPr>
          <w:p>
            <w:r>
              <w:t>Machine learning text classification with selective data-in-transit encryption.</w:t>
            </w:r>
          </w:p>
        </w:tc>
        <w:tc>
          <w:tcPr>
            <w:tcW w:type="dxa" w:w="2160"/>
            <w:tcMar>
              <w:top w:w="60" w:type="dxa"/>
              <w:bottom w:w="60" w:type="dxa"/>
              <w:left w:w="100" w:type="dxa"/>
              <w:right w:w="100" w:type="dxa"/>
            </w:tcMar>
          </w:tcPr>
          <w:p>
            <w:r>
              <w:t>Limited to email text bodies only; no file parsing, no OCR, no risk scoring engine, no audit dashboard.</w:t>
            </w:r>
          </w:p>
        </w:tc>
      </w:tr>
      <w:tr>
        <w:tc>
          <w:tcPr>
            <w:tcW w:type="dxa" w:w="2160"/>
            <w:tcMar>
              <w:top w:w="60" w:type="dxa"/>
              <w:bottom w:w="60" w:type="dxa"/>
              <w:left w:w="100" w:type="dxa"/>
              <w:right w:w="100" w:type="dxa"/>
            </w:tcMar>
          </w:tcPr>
          <w:p>
            <w:r>
              <w:t>4</w:t>
            </w:r>
          </w:p>
        </w:tc>
        <w:tc>
          <w:tcPr>
            <w:tcW w:type="dxa" w:w="2160"/>
            <w:tcMar>
              <w:top w:w="60" w:type="dxa"/>
              <w:bottom w:w="60" w:type="dxa"/>
              <w:left w:w="100" w:type="dxa"/>
              <w:right w:w="100" w:type="dxa"/>
            </w:tcMar>
          </w:tcPr>
          <w:p>
            <w:r>
              <w:t>Abid (2024) [Global Journal]</w:t>
            </w:r>
          </w:p>
        </w:tc>
        <w:tc>
          <w:tcPr>
            <w:tcW w:type="dxa" w:w="2160"/>
            <w:tcMar>
              <w:top w:w="60" w:type="dxa"/>
              <w:bottom w:w="60" w:type="dxa"/>
              <w:left w:w="100" w:type="dxa"/>
              <w:right w:w="100" w:type="dxa"/>
            </w:tcMar>
          </w:tcPr>
          <w:p>
            <w:r>
              <w:t>Review of AI/ML, cloud-native DLP, and Zero Trust security architectures.</w:t>
            </w:r>
          </w:p>
        </w:tc>
        <w:tc>
          <w:tcPr>
            <w:tcW w:type="dxa" w:w="2160"/>
            <w:tcMar>
              <w:top w:w="60" w:type="dxa"/>
              <w:bottom w:w="60" w:type="dxa"/>
              <w:left w:w="100" w:type="dxa"/>
              <w:right w:w="100" w:type="dxa"/>
            </w:tcMar>
          </w:tcPr>
          <w:p>
            <w:r>
              <w:t>Review-level paper; lacks an implemented working pipeline, concrete risk formulas, and empirical verification.</w:t>
            </w:r>
          </w:p>
        </w:tc>
      </w:tr>
    </w:tbl>
    <w:p>
      <w:pPr>
        <w:spacing w:line="360" w:lineRule="auto" w:after="120"/>
        <w:jc w:val="center"/>
      </w:pPr>
      <w:r>
        <w:rPr>
          <w:rFonts w:ascii="Times New Roman" w:hAnsi="Times New Roman"/>
          <w:i/>
          <w:sz w:val="24"/>
        </w:rPr>
        <w:br/>
        <w:t>Table 2.1: Comparative Analysis of Existing Systems</w:t>
      </w:r>
    </w:p>
    <w:p>
      <w:pPr>
        <w:spacing w:before="280" w:after="120"/>
      </w:pPr>
      <w:r>
        <w:rPr>
          <w:rFonts w:ascii="Times New Roman" w:hAnsi="Times New Roman"/>
          <w:b/>
          <w:sz w:val="28"/>
        </w:rPr>
        <w:t>2.2 Limitations of Existing System</w:t>
      </w:r>
    </w:p>
    <w:p>
      <w:pPr>
        <w:spacing w:line="360" w:lineRule="auto" w:after="120"/>
        <w:jc w:val="both"/>
      </w:pPr>
      <w:r>
        <w:rPr>
          <w:rFonts w:ascii="Times New Roman" w:hAnsi="Times New Roman"/>
          <w:i w:val="0"/>
          <w:sz w:val="24"/>
        </w:rPr>
        <w:t>Based on the literature survey, existing DLP systems exhibit several fundamental technical limitations:</w:t>
      </w:r>
    </w:p>
    <w:p>
      <w:pPr>
        <w:pStyle w:val="ListBullet"/>
        <w:spacing w:line="360" w:lineRule="auto" w:after="80"/>
        <w:jc w:val="both"/>
      </w:pPr>
      <w:r>
        <w:rPr>
          <w:rFonts w:ascii="Times New Roman" w:hAnsi="Times New Roman"/>
          <w:b/>
          <w:sz w:val="24"/>
        </w:rPr>
        <w:t xml:space="preserve">1. Context Blindness: </w:t>
      </w:r>
      <w:r>
        <w:rPr>
          <w:rFonts w:ascii="Times New Roman" w:hAnsi="Times New Roman"/>
          <w:sz w:val="24"/>
        </w:rPr>
        <w:t>Traditional keyword and regex filters cannot distinguish between a live credit card number being stolen and a benign tracking number or test code in a document.</w:t>
      </w:r>
    </w:p>
    <w:p>
      <w:pPr>
        <w:pStyle w:val="ListBullet"/>
        <w:spacing w:line="360" w:lineRule="auto" w:after="80"/>
        <w:jc w:val="both"/>
      </w:pPr>
      <w:r>
        <w:rPr>
          <w:rFonts w:ascii="Times New Roman" w:hAnsi="Times New Roman"/>
          <w:b/>
          <w:sz w:val="24"/>
        </w:rPr>
        <w:t xml:space="preserve">2. Omission of Visual and Scanned Content: </w:t>
      </w:r>
      <w:r>
        <w:rPr>
          <w:rFonts w:ascii="Times New Roman" w:hAnsi="Times New Roman"/>
          <w:sz w:val="24"/>
        </w:rPr>
        <w:t>Standard DLP software inspects only plain text, completely missing customer records embedded inside scanned KYC passport images, checks, or screen captures.</w:t>
      </w:r>
    </w:p>
    <w:p>
      <w:pPr>
        <w:pStyle w:val="ListBullet"/>
        <w:spacing w:line="360" w:lineRule="auto" w:after="80"/>
        <w:jc w:val="both"/>
      </w:pPr>
      <w:r>
        <w:rPr>
          <w:rFonts w:ascii="Times New Roman" w:hAnsi="Times New Roman"/>
          <w:b/>
          <w:sz w:val="24"/>
        </w:rPr>
        <w:t xml:space="preserve">3. Disruption from Binary Decisions: </w:t>
      </w:r>
      <w:r>
        <w:rPr>
          <w:rFonts w:ascii="Times New Roman" w:hAnsi="Times New Roman"/>
          <w:sz w:val="24"/>
        </w:rPr>
        <w:t>Most systems provide only binary block-or-allow actions, causing severe workflow bottlenecks when false alarms stop legitimate employee communications.</w:t>
      </w:r>
    </w:p>
    <w:p>
      <w:pPr>
        <w:pStyle w:val="ListBullet"/>
        <w:spacing w:line="360" w:lineRule="auto" w:after="80"/>
        <w:jc w:val="both"/>
      </w:pPr>
      <w:r>
        <w:rPr>
          <w:rFonts w:ascii="Times New Roman" w:hAnsi="Times New Roman"/>
          <w:b/>
          <w:sz w:val="24"/>
        </w:rPr>
        <w:t xml:space="preserve">4. Latency and Privacy Penalties: </w:t>
      </w:r>
      <w:r>
        <w:rPr>
          <w:rFonts w:ascii="Times New Roman" w:hAnsi="Times New Roman"/>
          <w:sz w:val="24"/>
        </w:rPr>
        <w:t>Large language models deployed in the cloud take seconds to respond and require transmitting internal banking data over the public internet, violating privacy regulations.</w:t>
      </w:r>
    </w:p>
    <w:p>
      <w:r>
        <w:br w:type="page"/>
      </w:r>
    </w:p>
    <w:p>
      <w:pPr>
        <w:spacing w:before="360" w:after="240"/>
      </w:pPr>
      <w:r>
        <w:rPr>
          <w:rFonts w:ascii="Times New Roman" w:hAnsi="Times New Roman"/>
          <w:b/>
          <w:sz w:val="32"/>
        </w:rPr>
        <w:t>Chapter 3</w:t>
        <w:br/>
        <w:t>Proposed System</w:t>
      </w:r>
    </w:p>
    <w:p>
      <w:pPr>
        <w:spacing w:before="280" w:after="120"/>
      </w:pPr>
      <w:r>
        <w:rPr>
          <w:rFonts w:ascii="Times New Roman" w:hAnsi="Times New Roman"/>
          <w:b/>
          <w:sz w:val="28"/>
        </w:rPr>
        <w:t>3.1 System Overview</w:t>
      </w:r>
    </w:p>
    <w:p>
      <w:pPr>
        <w:spacing w:line="360" w:lineRule="auto" w:after="120"/>
        <w:jc w:val="both"/>
      </w:pPr>
      <w:r>
        <w:rPr>
          <w:rFonts w:ascii="Times New Roman" w:hAnsi="Times New Roman"/>
          <w:i w:val="0"/>
          <w:sz w:val="24"/>
        </w:rPr>
        <w:t>SecureFlowAI is an end-to-end, context-aware Data Leakage Prevention system designed specifically for banking and financial workflows. The system intercepts outbound data at client touchpoints, executes multi-format file extraction and OCR, performs dual-tier hybrid inspection using deterministic mathematical checksums and a fine-tuned Transformer model, calculates a unified risk score, enforces cryptographic remediation, and visualizes incidents on a centralized web dashboard backed by PostgreSQL.</w:t>
      </w:r>
    </w:p>
    <w:p>
      <w:pPr>
        <w:spacing w:before="280" w:after="120"/>
      </w:pPr>
      <w:r>
        <w:rPr>
          <w:rFonts w:ascii="Times New Roman" w:hAnsi="Times New Roman"/>
          <w:b/>
          <w:sz w:val="28"/>
        </w:rPr>
        <w:t>3.2 Components of the System</w:t>
      </w:r>
    </w:p>
    <w:p>
      <w:pPr>
        <w:spacing w:line="360" w:lineRule="auto" w:after="120"/>
        <w:jc w:val="both"/>
      </w:pPr>
      <w:r>
        <w:rPr>
          <w:rFonts w:ascii="Times New Roman" w:hAnsi="Times New Roman"/>
          <w:i w:val="0"/>
          <w:sz w:val="24"/>
        </w:rPr>
        <w:t>The proposed system comprises five core integrated components:</w:t>
      </w:r>
    </w:p>
    <w:p>
      <w:pPr>
        <w:pStyle w:val="ListBullet"/>
        <w:spacing w:line="360" w:lineRule="auto" w:after="80"/>
        <w:jc w:val="both"/>
      </w:pPr>
      <w:r>
        <w:rPr>
          <w:rFonts w:ascii="Times New Roman" w:hAnsi="Times New Roman"/>
          <w:b/>
          <w:sz w:val="24"/>
        </w:rPr>
        <w:t xml:space="preserve">1. Client Capture Layer: </w:t>
      </w:r>
      <w:r>
        <w:rPr>
          <w:rFonts w:ascii="Times New Roman" w:hAnsi="Times New Roman"/>
          <w:sz w:val="24"/>
        </w:rPr>
        <w:t>Consists of a Chrome/Edge Manifest V3 extension intercepting browser paste events and webmail submissions, alongside a desktop daemon monitoring clipboard buffers and local file modifications.</w:t>
      </w:r>
    </w:p>
    <w:p>
      <w:pPr>
        <w:pStyle w:val="ListBullet"/>
        <w:spacing w:line="360" w:lineRule="auto" w:after="80"/>
        <w:jc w:val="both"/>
      </w:pPr>
      <w:r>
        <w:rPr>
          <w:rFonts w:ascii="Times New Roman" w:hAnsi="Times New Roman"/>
          <w:b/>
          <w:sz w:val="24"/>
        </w:rPr>
        <w:t xml:space="preserve">2. Ingestion Gateway: </w:t>
      </w:r>
      <w:r>
        <w:rPr>
          <w:rFonts w:ascii="Times New Roman" w:hAnsi="Times New Roman"/>
          <w:sz w:val="24"/>
        </w:rPr>
        <w:t>A high-performance FastAPI/Spring Boot service managing client authentication, API rate limiting, and archive decompression.</w:t>
      </w:r>
    </w:p>
    <w:p>
      <w:pPr>
        <w:pStyle w:val="ListBullet"/>
        <w:spacing w:line="360" w:lineRule="auto" w:after="80"/>
        <w:jc w:val="both"/>
      </w:pPr>
      <w:r>
        <w:rPr>
          <w:rFonts w:ascii="Times New Roman" w:hAnsi="Times New Roman"/>
          <w:b/>
          <w:sz w:val="24"/>
        </w:rPr>
        <w:t xml:space="preserve">3. Multi-Format Extraction &amp; OCR Module: </w:t>
      </w:r>
      <w:r>
        <w:rPr>
          <w:rFonts w:ascii="Times New Roman" w:hAnsi="Times New Roman"/>
          <w:sz w:val="24"/>
        </w:rPr>
        <w:t>Extracts text and tabular content from .docx, .xlsx, .csv, and .pdf documents using PyMuPDF and python-docx, with in-memory EasyOCR for scanned images.</w:t>
      </w:r>
    </w:p>
    <w:p>
      <w:pPr>
        <w:pStyle w:val="ListBullet"/>
        <w:spacing w:line="360" w:lineRule="auto" w:after="80"/>
        <w:jc w:val="both"/>
      </w:pPr>
      <w:r>
        <w:rPr>
          <w:rFonts w:ascii="Times New Roman" w:hAnsi="Times New Roman"/>
          <w:b/>
          <w:sz w:val="24"/>
        </w:rPr>
        <w:t xml:space="preserve">4. Hybrid Detection Engine: </w:t>
      </w:r>
      <w:r>
        <w:rPr>
          <w:rFonts w:ascii="Times New Roman" w:hAnsi="Times New Roman"/>
          <w:sz w:val="24"/>
        </w:rPr>
        <w:t>Runs Luhn and MOD-97 checksums in parallel with an ONNX INT8 quantized MiniLM Transformer model to classify data into Safe, Confidential, and Restricted tiers.</w:t>
      </w:r>
    </w:p>
    <w:p>
      <w:pPr>
        <w:pStyle w:val="ListBullet"/>
        <w:spacing w:line="360" w:lineRule="auto" w:after="80"/>
        <w:jc w:val="both"/>
      </w:pPr>
      <w:r>
        <w:rPr>
          <w:rFonts w:ascii="Times New Roman" w:hAnsi="Times New Roman"/>
          <w:b/>
          <w:sz w:val="24"/>
        </w:rPr>
        <w:t xml:space="preserve">5. Cryptography &amp; Enforcement Subsystem: </w:t>
      </w:r>
      <w:r>
        <w:rPr>
          <w:rFonts w:ascii="Times New Roman" w:hAnsi="Times New Roman"/>
          <w:sz w:val="24"/>
        </w:rPr>
        <w:t>Applies reverse-offset masking for PII, HMAC-SHA256 tokenization for reversible audit tracking, and AES-256-GCM encryption for confidential files.</w:t>
      </w:r>
    </w:p>
    <w:p>
      <w:pPr>
        <w:spacing w:before="280" w:after="120"/>
      </w:pPr>
      <w:r>
        <w:rPr>
          <w:rFonts w:ascii="Times New Roman" w:hAnsi="Times New Roman"/>
          <w:b/>
          <w:sz w:val="28"/>
        </w:rPr>
        <w:t>3.3 Architecture/Framework:</w:t>
      </w:r>
    </w:p>
    <w:p>
      <w:pPr>
        <w:spacing w:line="360" w:lineRule="auto" w:after="120"/>
        <w:jc w:val="both"/>
      </w:pPr>
      <w:r>
        <w:rPr>
          <w:rFonts w:ascii="Times New Roman" w:hAnsi="Times New Roman"/>
          <w:i w:val="0"/>
          <w:sz w:val="24"/>
        </w:rPr>
        <w:t>Figure 3.1 illustrates the architectural framework of SecureFlowAI. Data flows seamlessly from client capture endpoints to the central gateway, through the hybrid AI detection core, into the cryptographic enforcement layer, and finally into the PostgreSQL audit vault and CISO management console.</w:t>
      </w:r>
    </w:p>
    <w:p>
      <w:pPr>
        <w:spacing w:before="160" w:after="80"/>
        <w:jc w:val="center"/>
      </w:pPr>
      <w:r>
        <w:drawing>
          <wp:inline xmlns:a="http://schemas.openxmlformats.org/drawingml/2006/main" xmlns:pic="http://schemas.openxmlformats.org/drawingml/2006/picture">
            <wp:extent cx="5669280" cy="3607724"/>
            <wp:docPr id="3" name="Picture 3"/>
            <wp:cNvGraphicFramePr>
              <a:graphicFrameLocks noChangeAspect="1"/>
            </wp:cNvGraphicFramePr>
            <a:graphic>
              <a:graphicData uri="http://schemas.openxmlformats.org/drawingml/2006/picture">
                <pic:pic>
                  <pic:nvPicPr>
                    <pic:cNvPr id="0" name="fig3_1_architecture.png"/>
                    <pic:cNvPicPr/>
                  </pic:nvPicPr>
                  <pic:blipFill>
                    <a:blip r:embed="rId11"/>
                    <a:stretch>
                      <a:fillRect/>
                    </a:stretch>
                  </pic:blipFill>
                  <pic:spPr>
                    <a:xfrm>
                      <a:off x="0" y="0"/>
                      <a:ext cx="5669280" cy="3607724"/>
                    </a:xfrm>
                    <a:prstGeom prst="rect"/>
                  </pic:spPr>
                </pic:pic>
              </a:graphicData>
            </a:graphic>
          </wp:inline>
        </w:drawing>
      </w:r>
    </w:p>
    <w:p>
      <w:pPr>
        <w:spacing w:after="240"/>
        <w:jc w:val="center"/>
      </w:pPr>
      <w:r>
        <w:rPr>
          <w:rFonts w:ascii="Times New Roman" w:hAnsi="Times New Roman"/>
          <w:b/>
          <w:sz w:val="21"/>
        </w:rPr>
        <w:t>Figure 3.1: Architecture of SecureFlowAI DLP Framework</w:t>
      </w:r>
    </w:p>
    <w:p>
      <w:pPr>
        <w:spacing w:before="280" w:after="120"/>
      </w:pPr>
      <w:r>
        <w:rPr>
          <w:rFonts w:ascii="Times New Roman" w:hAnsi="Times New Roman"/>
          <w:b/>
          <w:sz w:val="28"/>
        </w:rPr>
        <w:t>3.4 Algorithm and Process Design:</w:t>
      </w:r>
    </w:p>
    <w:p>
      <w:pPr>
        <w:spacing w:line="360" w:lineRule="auto" w:after="120"/>
        <w:jc w:val="both"/>
      </w:pPr>
      <w:r>
        <w:rPr>
          <w:rFonts w:ascii="Times New Roman" w:hAnsi="Times New Roman"/>
          <w:i w:val="0"/>
          <w:sz w:val="24"/>
        </w:rPr>
        <w:t>The operational process design follows a five-stage pipeline: (1) Outbound data capture at client endpoints; (2) In-memory text extraction, table parsing, and OCR processing; (3) Parallel execution of deterministic checksum rules and Transformer classification; (4) Dynamic risk score calculation based on content classification and destination trust; and (5) Real-time enforcement returning an Allow, Remediate, or Block decision within 25 milliseconds.</w:t>
      </w:r>
    </w:p>
    <w:p>
      <w:pPr>
        <w:spacing w:before="280" w:after="120"/>
      </w:pPr>
      <w:r>
        <w:rPr>
          <w:rFonts w:ascii="Times New Roman" w:hAnsi="Times New Roman"/>
          <w:b/>
          <w:sz w:val="28"/>
        </w:rPr>
        <w:t>3.5 Details of Hardware &amp; Software</w:t>
      </w:r>
    </w:p>
    <w:p>
      <w:pPr>
        <w:spacing w:line="360" w:lineRule="auto" w:after="120"/>
        <w:jc w:val="both"/>
      </w:pPr>
      <w:r>
        <w:rPr>
          <w:rFonts w:ascii="Times New Roman" w:hAnsi="Times New Roman"/>
          <w:i w:val="0"/>
          <w:sz w:val="24"/>
        </w:rPr>
        <w:t>The development and operational specifications of SecureFlowAI are structured to ensure high performance on standard commercial hardware without requiring dedicated GPU infrastructure:</w:t>
      </w:r>
    </w:p>
    <w:p>
      <w:pPr>
        <w:pStyle w:val="ListBullet"/>
        <w:spacing w:line="360" w:lineRule="auto" w:after="80"/>
        <w:jc w:val="both"/>
      </w:pPr>
      <w:r>
        <w:rPr>
          <w:rFonts w:ascii="Times New Roman" w:hAnsi="Times New Roman"/>
          <w:b/>
          <w:sz w:val="24"/>
        </w:rPr>
        <w:t xml:space="preserve">Hardware Platform: </w:t>
      </w:r>
      <w:r>
        <w:rPr>
          <w:rFonts w:ascii="Times New Roman" w:hAnsi="Times New Roman"/>
          <w:sz w:val="24"/>
        </w:rPr>
        <w:t>Intel Core i5/i7 or AMD Ryzen 5, 16 GB DDR4 RAM, 256 GB NVMe SSD.</w:t>
      </w:r>
    </w:p>
    <w:p>
      <w:pPr>
        <w:pStyle w:val="ListBullet"/>
        <w:spacing w:line="360" w:lineRule="auto" w:after="80"/>
        <w:jc w:val="both"/>
      </w:pPr>
      <w:r>
        <w:rPr>
          <w:rFonts w:ascii="Times New Roman" w:hAnsi="Times New Roman"/>
          <w:b/>
          <w:sz w:val="24"/>
        </w:rPr>
        <w:t xml:space="preserve">Software Stack: </w:t>
      </w:r>
      <w:r>
        <w:rPr>
          <w:rFonts w:ascii="Times New Roman" w:hAnsi="Times New Roman"/>
          <w:sz w:val="24"/>
        </w:rPr>
        <w:t>Python 3.11/3.13, FastAPI, ONNX Runtime (CPUExecutionProvider), React.js 19, PostgreSQL 15, PyMuPDF, python-docx, openpyxl, and EasyOCR.</w:t>
      </w:r>
    </w:p>
    <w:p>
      <w:r>
        <w:br w:type="page"/>
      </w:r>
    </w:p>
    <w:p>
      <w:pPr>
        <w:spacing w:before="360" w:after="240"/>
      </w:pPr>
      <w:r>
        <w:rPr>
          <w:rFonts w:ascii="Times New Roman" w:hAnsi="Times New Roman"/>
          <w:b/>
          <w:sz w:val="32"/>
        </w:rPr>
        <w:t>Chapter 4</w:t>
        <w:br/>
        <w:t>Design and Methodology</w:t>
      </w:r>
    </w:p>
    <w:p>
      <w:pPr>
        <w:spacing w:before="280" w:after="120"/>
      </w:pPr>
      <w:r>
        <w:rPr>
          <w:rFonts w:ascii="Times New Roman" w:hAnsi="Times New Roman"/>
          <w:b/>
          <w:sz w:val="28"/>
        </w:rPr>
        <w:t>4.1 Design Details</w:t>
      </w:r>
    </w:p>
    <w:p>
      <w:pPr>
        <w:spacing w:line="360" w:lineRule="auto" w:after="120"/>
        <w:jc w:val="both"/>
      </w:pPr>
      <w:r>
        <w:rPr>
          <w:rFonts w:ascii="Times New Roman" w:hAnsi="Times New Roman"/>
          <w:i w:val="0"/>
          <w:sz w:val="24"/>
        </w:rPr>
        <w:t>The design of SecureFlowAI is structured to optimize data flow from multi-channel capture to real-time enforcement and immutable auditing. It is built upon a modular microservice architecture supporting high scalability and low latency.</w:t>
      </w:r>
    </w:p>
    <w:p>
      <w:pPr>
        <w:spacing w:before="280" w:after="120"/>
      </w:pPr>
      <w:r>
        <w:rPr>
          <w:rFonts w:ascii="Times New Roman" w:hAnsi="Times New Roman"/>
          <w:b/>
          <w:sz w:val="28"/>
        </w:rPr>
        <w:t>4.1.1 Entity-Relationship (ER) Diagram</w:t>
      </w:r>
    </w:p>
    <w:p>
      <w:pPr>
        <w:spacing w:line="360" w:lineRule="auto" w:after="120"/>
        <w:jc w:val="both"/>
      </w:pPr>
      <w:r>
        <w:rPr>
          <w:rFonts w:ascii="Times New Roman" w:hAnsi="Times New Roman"/>
          <w:i w:val="0"/>
          <w:sz w:val="24"/>
        </w:rPr>
        <w:t>The ER diagram illustrates the logical structure of the database used in the application. It defines how users, policies, audit logs, and cryptographic tokens are interrelated in the system (Figure 4.1).</w:t>
      </w:r>
    </w:p>
    <w:p>
      <w:pPr>
        <w:spacing w:before="16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1_er_diagram.png"/>
                    <pic:cNvPicPr/>
                  </pic:nvPicPr>
                  <pic:blipFill>
                    <a:blip r:embed="rId12"/>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b/>
          <w:sz w:val="21"/>
        </w:rPr>
        <w:t>Figure 4.1: ER Diagram</w:t>
      </w:r>
    </w:p>
    <w:p>
      <w:pPr>
        <w:spacing w:before="200" w:after="80"/>
      </w:pPr>
      <w:r>
        <w:rPr>
          <w:rFonts w:ascii="Times New Roman" w:hAnsi="Times New Roman"/>
          <w:b/>
          <w:sz w:val="24"/>
        </w:rPr>
        <w:t>4.1.1.1 Key Entities and Their Attributes</w:t>
      </w:r>
    </w:p>
    <w:p>
      <w:pPr>
        <w:pStyle w:val="ListBullet"/>
        <w:spacing w:line="360" w:lineRule="auto" w:after="80"/>
        <w:jc w:val="both"/>
      </w:pPr>
      <w:r>
        <w:rPr>
          <w:rFonts w:ascii="Times New Roman" w:hAnsi="Times New Roman"/>
          <w:b/>
          <w:sz w:val="24"/>
        </w:rPr>
        <w:t xml:space="preserve">User: </w:t>
      </w:r>
      <w:r>
        <w:rPr>
          <w:rFonts w:ascii="Times New Roman" w:hAnsi="Times New Roman"/>
          <w:sz w:val="24"/>
        </w:rPr>
        <w:t>Represents individuals interacting with the banking systems. Attributes include user_id (PK), username, email, department, role, and created_at.</w:t>
      </w:r>
    </w:p>
    <w:p>
      <w:pPr>
        <w:pStyle w:val="ListBullet"/>
        <w:spacing w:line="360" w:lineRule="auto" w:after="80"/>
        <w:jc w:val="both"/>
      </w:pPr>
      <w:r>
        <w:rPr>
          <w:rFonts w:ascii="Times New Roman" w:hAnsi="Times New Roman"/>
          <w:b/>
          <w:sz w:val="24"/>
        </w:rPr>
        <w:t xml:space="preserve">Security Policy: </w:t>
      </w:r>
      <w:r>
        <w:rPr>
          <w:rFonts w:ascii="Times New Roman" w:hAnsi="Times New Roman"/>
          <w:sz w:val="24"/>
        </w:rPr>
        <w:t>Stores dynamic detection rules. Attributes include policy_id (PK), policy_name, block_threshold, encrypt_threshold, and whitelisted_domains.</w:t>
      </w:r>
    </w:p>
    <w:p>
      <w:pPr>
        <w:pStyle w:val="ListBullet"/>
        <w:spacing w:line="360" w:lineRule="auto" w:after="80"/>
        <w:jc w:val="both"/>
      </w:pPr>
      <w:r>
        <w:rPr>
          <w:rFonts w:ascii="Times New Roman" w:hAnsi="Times New Roman"/>
          <w:b/>
          <w:sz w:val="24"/>
        </w:rPr>
        <w:t xml:space="preserve">DLP Audit Log: </w:t>
      </w:r>
      <w:r>
        <w:rPr>
          <w:rFonts w:ascii="Times New Roman" w:hAnsi="Times New Roman"/>
          <w:sz w:val="24"/>
        </w:rPr>
        <w:t>Stores non-repudiable transaction records. Attributes include event_id (PK), user_id (FK), timestamp, destination, risk_score, action_taken, and payload_sha256.</w:t>
      </w:r>
    </w:p>
    <w:p>
      <w:pPr>
        <w:pStyle w:val="ListBullet"/>
        <w:spacing w:line="360" w:lineRule="auto" w:after="80"/>
        <w:jc w:val="both"/>
      </w:pPr>
      <w:r>
        <w:rPr>
          <w:rFonts w:ascii="Times New Roman" w:hAnsi="Times New Roman"/>
          <w:b/>
          <w:sz w:val="24"/>
        </w:rPr>
        <w:t xml:space="preserve">Token Vault: </w:t>
      </w:r>
      <w:r>
        <w:rPr>
          <w:rFonts w:ascii="Times New Roman" w:hAnsi="Times New Roman"/>
          <w:sz w:val="24"/>
        </w:rPr>
        <w:t>Stores reversible cryptographic token mappings. Attributes include token_id (PK), encrypted_value, nonce, auth_tag, entity_type, and created_by (FK).</w:t>
      </w:r>
    </w:p>
    <w:p>
      <w:pPr>
        <w:pStyle w:val="ListBullet"/>
        <w:spacing w:line="360" w:lineRule="auto" w:after="80"/>
        <w:jc w:val="both"/>
      </w:pPr>
      <w:r>
        <w:rPr>
          <w:rFonts w:ascii="Times New Roman" w:hAnsi="Times New Roman"/>
          <w:b/>
          <w:sz w:val="24"/>
        </w:rPr>
        <w:t xml:space="preserve">Incident Override: </w:t>
      </w:r>
      <w:r>
        <w:rPr>
          <w:rFonts w:ascii="Times New Roman" w:hAnsi="Times New Roman"/>
          <w:sz w:val="24"/>
        </w:rPr>
        <w:t>Captures supervisory override authorizations. Attributes include override_id (PK), event_id (FK), approved_by (FK), justification, and approved_at.</w:t>
      </w:r>
    </w:p>
    <w:p>
      <w:pPr>
        <w:spacing w:before="200" w:after="80"/>
      </w:pPr>
      <w:r>
        <w:rPr>
          <w:rFonts w:ascii="Times New Roman" w:hAnsi="Times New Roman"/>
          <w:b/>
          <w:sz w:val="24"/>
        </w:rPr>
        <w:t>4.1.1.2 Relationships Between Entities</w:t>
      </w:r>
    </w:p>
    <w:p>
      <w:pPr>
        <w:pStyle w:val="ListBullet"/>
        <w:spacing w:line="360" w:lineRule="auto" w:after="80"/>
        <w:jc w:val="both"/>
      </w:pPr>
      <w:r>
        <w:rPr>
          <w:rFonts w:ascii="Times New Roman" w:hAnsi="Times New Roman"/>
          <w:b/>
          <w:sz w:val="24"/>
        </w:rPr>
        <w:t>• One User can trigger multiple DLP Audit Log events.</w:t>
      </w:r>
      <w:r>
        <w:rPr>
          <w:rFonts w:ascii="Times New Roman" w:hAnsi="Times New Roman"/>
          <w:sz w:val="24"/>
        </w:rPr>
      </w:r>
    </w:p>
    <w:p>
      <w:pPr>
        <w:pStyle w:val="ListBullet"/>
        <w:spacing w:line="360" w:lineRule="auto" w:after="80"/>
        <w:jc w:val="both"/>
      </w:pPr>
      <w:r>
        <w:rPr>
          <w:rFonts w:ascii="Times New Roman" w:hAnsi="Times New Roman"/>
          <w:b/>
          <w:sz w:val="24"/>
        </w:rPr>
        <w:t>• Each DLP Audit Log entry evaluates one active Security Policy.</w:t>
      </w:r>
      <w:r>
        <w:rPr>
          <w:rFonts w:ascii="Times New Roman" w:hAnsi="Times New Roman"/>
          <w:sz w:val="24"/>
        </w:rPr>
      </w:r>
    </w:p>
    <w:p>
      <w:pPr>
        <w:pStyle w:val="ListBullet"/>
        <w:spacing w:line="360" w:lineRule="auto" w:after="80"/>
        <w:jc w:val="both"/>
      </w:pPr>
      <w:r>
        <w:rPr>
          <w:rFonts w:ascii="Times New Roman" w:hAnsi="Times New Roman"/>
          <w:b/>
          <w:sz w:val="24"/>
        </w:rPr>
        <w:t>• Each Token in the Token Vault is associated with one User and Audit Log event.</w:t>
      </w:r>
      <w:r>
        <w:rPr>
          <w:rFonts w:ascii="Times New Roman" w:hAnsi="Times New Roman"/>
          <w:sz w:val="24"/>
        </w:rPr>
      </w:r>
    </w:p>
    <w:p>
      <w:pPr>
        <w:pStyle w:val="ListBullet"/>
        <w:spacing w:line="360" w:lineRule="auto" w:after="80"/>
        <w:jc w:val="both"/>
      </w:pPr>
      <w:r>
        <w:rPr>
          <w:rFonts w:ascii="Times New Roman" w:hAnsi="Times New Roman"/>
          <w:b/>
          <w:sz w:val="24"/>
        </w:rPr>
        <w:t>• An Audit Log event may optionally be associated with one Incident Override approval.</w:t>
      </w:r>
      <w:r>
        <w:rPr>
          <w:rFonts w:ascii="Times New Roman" w:hAnsi="Times New Roman"/>
          <w:sz w:val="24"/>
        </w:rPr>
      </w:r>
    </w:p>
    <w:p>
      <w:pPr>
        <w:spacing w:before="200" w:after="80"/>
      </w:pPr>
      <w:r>
        <w:rPr>
          <w:rFonts w:ascii="Times New Roman" w:hAnsi="Times New Roman"/>
          <w:b/>
          <w:sz w:val="24"/>
        </w:rPr>
        <w:t>4.1.1.3 Design Advantages</w:t>
      </w:r>
    </w:p>
    <w:p>
      <w:pPr>
        <w:spacing w:line="360" w:lineRule="auto" w:after="120"/>
        <w:jc w:val="both"/>
      </w:pPr>
      <w:r>
        <w:rPr>
          <w:rFonts w:ascii="Times New Roman" w:hAnsi="Times New Roman"/>
          <w:i w:val="0"/>
          <w:sz w:val="24"/>
        </w:rPr>
        <w:t>The database design guarantees that raw customer PII is never stored in plaintext. In the Token Vault, records are protected via AES-256-GCM encryption. The audit log maintains cryptographic SHA-256 fingerprints of all payloads, providing non-repudiation and satisfying PCI-DSS Requirement 10 and GDPR Article 30/33 audit standards.</w:t>
      </w:r>
    </w:p>
    <w:p>
      <w:pPr>
        <w:spacing w:before="280" w:after="120"/>
      </w:pPr>
      <w:r>
        <w:rPr>
          <w:rFonts w:ascii="Times New Roman" w:hAnsi="Times New Roman"/>
          <w:b/>
          <w:sz w:val="28"/>
        </w:rPr>
        <w:t>4.1.2 UML Activity Diagram</w:t>
      </w:r>
    </w:p>
    <w:p>
      <w:pPr>
        <w:spacing w:line="360" w:lineRule="auto" w:after="120"/>
        <w:jc w:val="both"/>
      </w:pPr>
      <w:r>
        <w:rPr>
          <w:rFonts w:ascii="Times New Roman" w:hAnsi="Times New Roman"/>
          <w:i w:val="0"/>
          <w:sz w:val="24"/>
        </w:rPr>
        <w:t>The UML Activity Diagram illustrates the dynamic operational behavior of the system, specifically the decision flow from initial data capture to policy enforcement and audit recording (Figure 4.2).</w:t>
      </w:r>
    </w:p>
    <w:p>
      <w:pPr>
        <w:spacing w:before="160" w:after="80"/>
        <w:jc w:val="center"/>
      </w:pPr>
      <w:r>
        <w:drawing>
          <wp:inline xmlns:a="http://schemas.openxmlformats.org/drawingml/2006/main" xmlns:pic="http://schemas.openxmlformats.org/drawingml/2006/picture">
            <wp:extent cx="4754880" cy="5349240"/>
            <wp:docPr id="5" name="Picture 5"/>
            <wp:cNvGraphicFramePr>
              <a:graphicFrameLocks noChangeAspect="1"/>
            </wp:cNvGraphicFramePr>
            <a:graphic>
              <a:graphicData uri="http://schemas.openxmlformats.org/drawingml/2006/picture">
                <pic:pic>
                  <pic:nvPicPr>
                    <pic:cNvPr id="0" name="fig4_2_uml_activity.png"/>
                    <pic:cNvPicPr/>
                  </pic:nvPicPr>
                  <pic:blipFill>
                    <a:blip r:embed="rId13"/>
                    <a:stretch>
                      <a:fillRect/>
                    </a:stretch>
                  </pic:blipFill>
                  <pic:spPr>
                    <a:xfrm>
                      <a:off x="0" y="0"/>
                      <a:ext cx="4754880" cy="5349240"/>
                    </a:xfrm>
                    <a:prstGeom prst="rect"/>
                  </pic:spPr>
                </pic:pic>
              </a:graphicData>
            </a:graphic>
          </wp:inline>
        </w:drawing>
      </w:r>
    </w:p>
    <w:p>
      <w:pPr>
        <w:spacing w:after="240"/>
        <w:jc w:val="center"/>
      </w:pPr>
      <w:r>
        <w:rPr>
          <w:rFonts w:ascii="Times New Roman" w:hAnsi="Times New Roman"/>
          <w:b/>
          <w:sz w:val="21"/>
        </w:rPr>
        <w:t>Figure 4.2: UML Diagram</w:t>
      </w:r>
    </w:p>
    <w:p>
      <w:pPr>
        <w:spacing w:before="200" w:after="80"/>
      </w:pPr>
      <w:r>
        <w:rPr>
          <w:rFonts w:ascii="Times New Roman" w:hAnsi="Times New Roman"/>
          <w:b/>
          <w:sz w:val="24"/>
        </w:rPr>
        <w:t>4.1.2.1 Activity Flow</w:t>
      </w:r>
    </w:p>
    <w:p>
      <w:pPr>
        <w:pStyle w:val="ListBullet"/>
        <w:spacing w:line="360" w:lineRule="auto" w:after="80"/>
        <w:jc w:val="both"/>
      </w:pPr>
      <w:r>
        <w:rPr>
          <w:rFonts w:ascii="Times New Roman" w:hAnsi="Times New Roman"/>
          <w:b/>
          <w:sz w:val="24"/>
        </w:rPr>
        <w:t xml:space="preserve">1. Document / Text Interception: </w:t>
      </w:r>
      <w:r>
        <w:rPr>
          <w:rFonts w:ascii="Times New Roman" w:hAnsi="Times New Roman"/>
          <w:sz w:val="24"/>
        </w:rPr>
        <w:t>A user initiates a paste, upload, or clipboard copy event at the client endpoint.</w:t>
      </w:r>
    </w:p>
    <w:p>
      <w:pPr>
        <w:pStyle w:val="ListBullet"/>
        <w:spacing w:line="360" w:lineRule="auto" w:after="80"/>
        <w:jc w:val="both"/>
      </w:pPr>
      <w:r>
        <w:rPr>
          <w:rFonts w:ascii="Times New Roman" w:hAnsi="Times New Roman"/>
          <w:b/>
          <w:sz w:val="24"/>
        </w:rPr>
        <w:t xml:space="preserve">2. Content Extraction &amp; OCR: </w:t>
      </w:r>
      <w:r>
        <w:rPr>
          <w:rFonts w:ascii="Times New Roman" w:hAnsi="Times New Roman"/>
          <w:sz w:val="24"/>
        </w:rPr>
        <w:t>Text and tables are parsed from files, and in-memory OCR is applied to scanned images.</w:t>
      </w:r>
    </w:p>
    <w:p>
      <w:pPr>
        <w:pStyle w:val="ListBullet"/>
        <w:spacing w:line="360" w:lineRule="auto" w:after="80"/>
        <w:jc w:val="both"/>
      </w:pPr>
      <w:r>
        <w:rPr>
          <w:rFonts w:ascii="Times New Roman" w:hAnsi="Times New Roman"/>
          <w:b/>
          <w:sz w:val="24"/>
        </w:rPr>
        <w:t xml:space="preserve">3. Dual-Tier Inspection: </w:t>
      </w:r>
      <w:r>
        <w:rPr>
          <w:rFonts w:ascii="Times New Roman" w:hAnsi="Times New Roman"/>
          <w:sz w:val="24"/>
        </w:rPr>
        <w:t>Deterministic checksums (Luhn/MOD-97) and the ONNX Transformer classifier execute simultaneously.</w:t>
      </w:r>
    </w:p>
    <w:p>
      <w:pPr>
        <w:pStyle w:val="ListBullet"/>
        <w:spacing w:line="360" w:lineRule="auto" w:after="80"/>
        <w:jc w:val="both"/>
      </w:pPr>
      <w:r>
        <w:rPr>
          <w:rFonts w:ascii="Times New Roman" w:hAnsi="Times New Roman"/>
          <w:b/>
          <w:sz w:val="24"/>
        </w:rPr>
        <w:t xml:space="preserve">4. Risk Score Calculation: </w:t>
      </w:r>
      <w:r>
        <w:rPr>
          <w:rFonts w:ascii="Times New Roman" w:hAnsi="Times New Roman"/>
          <w:sz w:val="24"/>
        </w:rPr>
        <w:t>A unified risk score (0 to 100) is calculated combining content tier, entity count, and destination.</w:t>
      </w:r>
    </w:p>
    <w:p>
      <w:pPr>
        <w:pStyle w:val="ListBullet"/>
        <w:spacing w:line="360" w:lineRule="auto" w:after="80"/>
        <w:jc w:val="both"/>
      </w:pPr>
      <w:r>
        <w:rPr>
          <w:rFonts w:ascii="Times New Roman" w:hAnsi="Times New Roman"/>
          <w:b/>
          <w:sz w:val="24"/>
        </w:rPr>
        <w:t xml:space="preserve">5. Policy Decision: </w:t>
      </w:r>
      <w:r>
        <w:rPr>
          <w:rFonts w:ascii="Times New Roman" w:hAnsi="Times New Roman"/>
          <w:sz w:val="24"/>
        </w:rPr>
        <w:t>The score is compared against cached thresholds, triggering an Allow, Remediate (Mask/Encrypt), or Block action.</w:t>
      </w:r>
    </w:p>
    <w:p>
      <w:pPr>
        <w:pStyle w:val="ListBullet"/>
        <w:spacing w:line="360" w:lineRule="auto" w:after="80"/>
        <w:jc w:val="both"/>
      </w:pPr>
      <w:r>
        <w:rPr>
          <w:rFonts w:ascii="Times New Roman" w:hAnsi="Times New Roman"/>
          <w:b/>
          <w:sz w:val="24"/>
        </w:rPr>
        <w:t xml:space="preserve">6. Audit Logging: </w:t>
      </w:r>
      <w:r>
        <w:rPr>
          <w:rFonts w:ascii="Times New Roman" w:hAnsi="Times New Roman"/>
          <w:sz w:val="24"/>
        </w:rPr>
        <w:t>The event is committed asynchronously to PostgreSQL, and high-risk alerts stream to the SOC dashboard.</w:t>
      </w:r>
    </w:p>
    <w:p>
      <w:pPr>
        <w:spacing w:before="200" w:after="80"/>
      </w:pPr>
      <w:r>
        <w:rPr>
          <w:rFonts w:ascii="Times New Roman" w:hAnsi="Times New Roman"/>
          <w:b/>
          <w:sz w:val="24"/>
        </w:rPr>
        <w:t>4.1.2.2 Features of the Activity Design</w:t>
      </w:r>
    </w:p>
    <w:p>
      <w:pPr>
        <w:spacing w:line="360" w:lineRule="auto" w:after="120"/>
        <w:jc w:val="both"/>
      </w:pPr>
      <w:r>
        <w:rPr>
          <w:rFonts w:ascii="Times New Roman" w:hAnsi="Times New Roman"/>
          <w:i w:val="0"/>
          <w:sz w:val="24"/>
        </w:rPr>
        <w:t>This activity design ensures a sub-25ms response time by executing heavy database writes asynchronously in the background while returning the enforcement decision immediately to the client.</w:t>
      </w:r>
    </w:p>
    <w:p>
      <w:pPr>
        <w:spacing w:before="280" w:after="120"/>
      </w:pPr>
      <w:r>
        <w:rPr>
          <w:rFonts w:ascii="Times New Roman" w:hAnsi="Times New Roman"/>
          <w:b/>
          <w:sz w:val="28"/>
        </w:rPr>
        <w:t>4.1.3 Data Flow Diagram (DFD) – Level 1</w:t>
      </w:r>
    </w:p>
    <w:p>
      <w:pPr>
        <w:spacing w:line="360" w:lineRule="auto" w:after="120"/>
        <w:jc w:val="both"/>
      </w:pPr>
      <w:r>
        <w:rPr>
          <w:rFonts w:ascii="Times New Roman" w:hAnsi="Times New Roman"/>
          <w:i w:val="0"/>
          <w:sz w:val="24"/>
        </w:rPr>
        <w:t>The Level 1 Data Flow Diagram provides a comprehensive overview of data movement between external entities, core software processes, and internal data stores (Figure 4.3).</w:t>
      </w:r>
    </w:p>
    <w:p>
      <w:pPr>
        <w:spacing w:before="160" w:after="80"/>
        <w:jc w:val="center"/>
      </w:pPr>
      <w:r>
        <w:drawing>
          <wp:inline xmlns:a="http://schemas.openxmlformats.org/drawingml/2006/main" xmlns:pic="http://schemas.openxmlformats.org/drawingml/2006/picture">
            <wp:extent cx="5303520" cy="3447288"/>
            <wp:docPr id="6" name="Picture 6"/>
            <wp:cNvGraphicFramePr>
              <a:graphicFrameLocks noChangeAspect="1"/>
            </wp:cNvGraphicFramePr>
            <a:graphic>
              <a:graphicData uri="http://schemas.openxmlformats.org/drawingml/2006/picture">
                <pic:pic>
                  <pic:nvPicPr>
                    <pic:cNvPr id="0" name="fig4_3_dfd_level1.png"/>
                    <pic:cNvPicPr/>
                  </pic:nvPicPr>
                  <pic:blipFill>
                    <a:blip r:embed="rId14"/>
                    <a:stretch>
                      <a:fillRect/>
                    </a:stretch>
                  </pic:blipFill>
                  <pic:spPr>
                    <a:xfrm>
                      <a:off x="0" y="0"/>
                      <a:ext cx="5303520" cy="3447288"/>
                    </a:xfrm>
                    <a:prstGeom prst="rect"/>
                  </pic:spPr>
                </pic:pic>
              </a:graphicData>
            </a:graphic>
          </wp:inline>
        </w:drawing>
      </w:r>
    </w:p>
    <w:p>
      <w:pPr>
        <w:spacing w:after="240"/>
        <w:jc w:val="center"/>
      </w:pPr>
      <w:r>
        <w:rPr>
          <w:rFonts w:ascii="Times New Roman" w:hAnsi="Times New Roman"/>
          <w:b/>
          <w:sz w:val="21"/>
        </w:rPr>
        <w:t>Figure 4.3: DFD Diagram</w:t>
      </w:r>
    </w:p>
    <w:p>
      <w:pPr>
        <w:spacing w:before="200" w:after="80"/>
      </w:pPr>
      <w:r>
        <w:rPr>
          <w:rFonts w:ascii="Times New Roman" w:hAnsi="Times New Roman"/>
          <w:b/>
          <w:sz w:val="24"/>
        </w:rPr>
        <w:t>4.1.3.1 External Entity: User</w:t>
      </w:r>
    </w:p>
    <w:p>
      <w:pPr>
        <w:spacing w:line="360" w:lineRule="auto" w:after="120"/>
        <w:jc w:val="both"/>
      </w:pPr>
      <w:r>
        <w:rPr>
          <w:rFonts w:ascii="Times New Roman" w:hAnsi="Times New Roman"/>
          <w:i w:val="0"/>
          <w:sz w:val="24"/>
        </w:rPr>
        <w:t>The User (Bank Employee) is the primary external entity initiating data transfers. External Recipients represent external cloud portals or email domains receiving outbound data. The SOC Analyst represents the security administrator monitoring alerts and managing policies.</w:t>
      </w:r>
    </w:p>
    <w:p>
      <w:pPr>
        <w:spacing w:before="200" w:after="80"/>
      </w:pPr>
      <w:r>
        <w:rPr>
          <w:rFonts w:ascii="Times New Roman" w:hAnsi="Times New Roman"/>
          <w:b/>
          <w:sz w:val="24"/>
        </w:rPr>
        <w:t>4.1.3.2 Core Processes</w:t>
      </w:r>
    </w:p>
    <w:p>
      <w:pPr>
        <w:pStyle w:val="ListBullet"/>
        <w:spacing w:line="360" w:lineRule="auto" w:after="80"/>
        <w:jc w:val="both"/>
      </w:pPr>
      <w:r>
        <w:rPr>
          <w:rFonts w:ascii="Times New Roman" w:hAnsi="Times New Roman"/>
          <w:b/>
          <w:sz w:val="24"/>
        </w:rPr>
        <w:t xml:space="preserve">• P1: Content Extraction &amp; OCR: </w:t>
      </w:r>
      <w:r>
        <w:rPr>
          <w:rFonts w:ascii="Times New Roman" w:hAnsi="Times New Roman"/>
          <w:sz w:val="24"/>
        </w:rPr>
        <w:t>Extracts plain text and tables from uploaded files and scanned images.</w:t>
      </w:r>
    </w:p>
    <w:p>
      <w:pPr>
        <w:pStyle w:val="ListBullet"/>
        <w:spacing w:line="360" w:lineRule="auto" w:after="80"/>
        <w:jc w:val="both"/>
      </w:pPr>
      <w:r>
        <w:rPr>
          <w:rFonts w:ascii="Times New Roman" w:hAnsi="Times New Roman"/>
          <w:b/>
          <w:sz w:val="24"/>
        </w:rPr>
        <w:t xml:space="preserve">• P2: Checksums &amp; Hybrid Classification: </w:t>
      </w:r>
      <w:r>
        <w:rPr>
          <w:rFonts w:ascii="Times New Roman" w:hAnsi="Times New Roman"/>
          <w:sz w:val="24"/>
        </w:rPr>
        <w:t>Executes Luhn/MOD-97 algorithms and MiniLM Transformer classification.</w:t>
      </w:r>
    </w:p>
    <w:p>
      <w:pPr>
        <w:pStyle w:val="ListBullet"/>
        <w:spacing w:line="360" w:lineRule="auto" w:after="80"/>
        <w:jc w:val="both"/>
      </w:pPr>
      <w:r>
        <w:rPr>
          <w:rFonts w:ascii="Times New Roman" w:hAnsi="Times New Roman"/>
          <w:b/>
          <w:sz w:val="24"/>
        </w:rPr>
        <w:t xml:space="preserve">• P3: Risk Scoring &amp; Policy Evaluation: </w:t>
      </w:r>
      <w:r>
        <w:rPr>
          <w:rFonts w:ascii="Times New Roman" w:hAnsi="Times New Roman"/>
          <w:sz w:val="24"/>
        </w:rPr>
        <w:t>Evaluates the classification against cached security policies.</w:t>
      </w:r>
    </w:p>
    <w:p>
      <w:pPr>
        <w:pStyle w:val="ListBullet"/>
        <w:spacing w:line="360" w:lineRule="auto" w:after="80"/>
        <w:jc w:val="both"/>
      </w:pPr>
      <w:r>
        <w:rPr>
          <w:rFonts w:ascii="Times New Roman" w:hAnsi="Times New Roman"/>
          <w:b/>
          <w:sz w:val="24"/>
        </w:rPr>
        <w:t xml:space="preserve">• P4: Enforcement &amp; Cryptography: </w:t>
      </w:r>
      <w:r>
        <w:rPr>
          <w:rFonts w:ascii="Times New Roman" w:hAnsi="Times New Roman"/>
          <w:sz w:val="24"/>
        </w:rPr>
        <w:t>Executes reverse-offset masking, HMAC tokenization, or AES-256 encryption.</w:t>
      </w:r>
    </w:p>
    <w:p>
      <w:pPr>
        <w:pStyle w:val="ListBullet"/>
        <w:spacing w:line="360" w:lineRule="auto" w:after="80"/>
        <w:jc w:val="both"/>
      </w:pPr>
      <w:r>
        <w:rPr>
          <w:rFonts w:ascii="Times New Roman" w:hAnsi="Times New Roman"/>
          <w:b/>
          <w:sz w:val="24"/>
        </w:rPr>
        <w:t xml:space="preserve">• P5: Audit Logging &amp; Alerting: </w:t>
      </w:r>
      <w:r>
        <w:rPr>
          <w:rFonts w:ascii="Times New Roman" w:hAnsi="Times New Roman"/>
          <w:sz w:val="24"/>
        </w:rPr>
        <w:t>Writes event logs to PostgreSQL and dispatches alerts to the SOC console.</w:t>
      </w:r>
    </w:p>
    <w:p>
      <w:pPr>
        <w:spacing w:before="200" w:after="80"/>
      </w:pPr>
      <w:r>
        <w:rPr>
          <w:rFonts w:ascii="Times New Roman" w:hAnsi="Times New Roman"/>
          <w:b/>
          <w:sz w:val="24"/>
        </w:rPr>
        <w:t>4.1.3.3 Data Stores</w:t>
      </w:r>
    </w:p>
    <w:p>
      <w:pPr>
        <w:pStyle w:val="ListBullet"/>
        <w:spacing w:line="360" w:lineRule="auto" w:after="80"/>
        <w:jc w:val="both"/>
      </w:pPr>
      <w:r>
        <w:rPr>
          <w:rFonts w:ascii="Times New Roman" w:hAnsi="Times New Roman"/>
          <w:b/>
          <w:sz w:val="24"/>
        </w:rPr>
        <w:t xml:space="preserve">• D1: Policy Cache (In-Memory / Redis): </w:t>
      </w:r>
      <w:r>
        <w:rPr>
          <w:rFonts w:ascii="Times New Roman" w:hAnsi="Times New Roman"/>
          <w:sz w:val="24"/>
        </w:rPr>
        <w:t>Provides instant sub-millisecond policy rule and domain whitelist lookups.</w:t>
      </w:r>
    </w:p>
    <w:p>
      <w:pPr>
        <w:pStyle w:val="ListBullet"/>
        <w:spacing w:line="360" w:lineRule="auto" w:after="80"/>
        <w:jc w:val="both"/>
      </w:pPr>
      <w:r>
        <w:rPr>
          <w:rFonts w:ascii="Times New Roman" w:hAnsi="Times New Roman"/>
          <w:b/>
          <w:sz w:val="24"/>
        </w:rPr>
        <w:t xml:space="preserve">• D2: PostgreSQL Audit DB: </w:t>
      </w:r>
      <w:r>
        <w:rPr>
          <w:rFonts w:ascii="Times New Roman" w:hAnsi="Times New Roman"/>
          <w:sz w:val="24"/>
        </w:rPr>
        <w:t>Stores non-repudiable audit logs of all transactions.</w:t>
      </w:r>
    </w:p>
    <w:p>
      <w:pPr>
        <w:pStyle w:val="ListBullet"/>
        <w:spacing w:line="360" w:lineRule="auto" w:after="80"/>
        <w:jc w:val="both"/>
      </w:pPr>
      <w:r>
        <w:rPr>
          <w:rFonts w:ascii="Times New Roman" w:hAnsi="Times New Roman"/>
          <w:b/>
          <w:sz w:val="24"/>
        </w:rPr>
        <w:t xml:space="preserve">• D3: Token Vault: </w:t>
      </w:r>
      <w:r>
        <w:rPr>
          <w:rFonts w:ascii="Times New Roman" w:hAnsi="Times New Roman"/>
          <w:sz w:val="24"/>
        </w:rPr>
        <w:t>Stores encrypted mappings between tokens and real account numbers.</w:t>
      </w:r>
    </w:p>
    <w:p>
      <w:pPr>
        <w:spacing w:before="200" w:after="80"/>
      </w:pPr>
      <w:r>
        <w:rPr>
          <w:rFonts w:ascii="Times New Roman" w:hAnsi="Times New Roman"/>
          <w:b/>
          <w:sz w:val="24"/>
        </w:rPr>
        <w:t>4.1.3.4 External System: Mailtrap / Central Gateway</w:t>
      </w:r>
    </w:p>
    <w:p>
      <w:pPr>
        <w:spacing w:line="360" w:lineRule="auto" w:after="120"/>
        <w:jc w:val="both"/>
      </w:pPr>
      <w:r>
        <w:rPr>
          <w:rFonts w:ascii="Times New Roman" w:hAnsi="Times New Roman"/>
          <w:i w:val="0"/>
          <w:sz w:val="24"/>
        </w:rPr>
        <w:t>Mailtrap is integrated as an external email gateway service to simulate automated administrative alert dispatching when high-severity leaks (Score &gt;= 80) occur.</w:t>
      </w:r>
    </w:p>
    <w:p>
      <w:pPr>
        <w:spacing w:before="200" w:after="80"/>
      </w:pPr>
      <w:r>
        <w:rPr>
          <w:rFonts w:ascii="Times New Roman" w:hAnsi="Times New Roman"/>
          <w:b/>
          <w:sz w:val="24"/>
        </w:rPr>
        <w:t>4.1.3.5 Workflow Summary</w:t>
      </w:r>
    </w:p>
    <w:p>
      <w:pPr>
        <w:spacing w:line="360" w:lineRule="auto" w:after="120"/>
        <w:jc w:val="both"/>
      </w:pPr>
      <w:r>
        <w:rPr>
          <w:rFonts w:ascii="Times New Roman" w:hAnsi="Times New Roman"/>
          <w:i w:val="0"/>
          <w:sz w:val="24"/>
        </w:rPr>
        <w:t>When a user transfers data, Process P1 extracts the text and passes it to P2. P2 evaluates the content and feeds results into P3. P3 determines the action, instructing P4 to allow, mask, or block the transfer. P5 records the transaction in D2 and alerts the SOC analyst.</w:t>
      </w:r>
    </w:p>
    <w:p>
      <w:pPr>
        <w:spacing w:before="200" w:after="80"/>
      </w:pPr>
      <w:r>
        <w:rPr>
          <w:rFonts w:ascii="Times New Roman" w:hAnsi="Times New Roman"/>
          <w:b/>
          <w:sz w:val="24"/>
        </w:rPr>
        <w:t>4.1.3.6 Design Benefits</w:t>
      </w:r>
    </w:p>
    <w:p>
      <w:pPr>
        <w:spacing w:line="360" w:lineRule="auto" w:after="120"/>
        <w:jc w:val="both"/>
      </w:pPr>
      <w:r>
        <w:rPr>
          <w:rFonts w:ascii="Times New Roman" w:hAnsi="Times New Roman"/>
          <w:i w:val="0"/>
          <w:sz w:val="24"/>
        </w:rPr>
        <w:t>This architecture eliminates latency bottlenecks through asynchronous database writing, guarantees data privacy through zero cloud egress, and ensures high accuracy through hybrid deterministic-statistical inspection.</w:t>
      </w:r>
    </w:p>
    <w:p>
      <w:pPr>
        <w:spacing w:before="280" w:after="120"/>
      </w:pPr>
      <w:r>
        <w:rPr>
          <w:rFonts w:ascii="Times New Roman" w:hAnsi="Times New Roman"/>
          <w:b/>
          <w:sz w:val="28"/>
        </w:rPr>
        <w:t>4.2 Methodology</w:t>
      </w:r>
    </w:p>
    <w:p>
      <w:pPr>
        <w:spacing w:line="360" w:lineRule="auto" w:after="120"/>
        <w:jc w:val="both"/>
      </w:pPr>
      <w:r>
        <w:rPr>
          <w:rFonts w:ascii="Times New Roman" w:hAnsi="Times New Roman"/>
          <w:i w:val="0"/>
          <w:sz w:val="24"/>
        </w:rPr>
        <w:t>The methodology follows an experimental data engineering and MLOps lifecycle: (1) Dataset assembly merging open-source PII corpora with synthetic banking scenarios and STARGATE OCR extracts; (2) Fine-tuning an encoder Transformer (MiniLM-L6-v2) using class-weighted loss to penalize missed leaks 2.5x more heavily than false alarms; (3) Dynamic INT8 quantization via ONNX Runtime; (4) Deterministic checksum integration; and (5) Full-stack containerization.</w:t>
      </w:r>
    </w:p>
    <w:p>
      <w:pPr>
        <w:spacing w:before="280" w:after="120"/>
      </w:pPr>
      <w:r>
        <w:rPr>
          <w:rFonts w:ascii="Times New Roman" w:hAnsi="Times New Roman"/>
          <w:b/>
          <w:sz w:val="28"/>
        </w:rPr>
        <w:t>4.3 Algorithm Implementation</w:t>
      </w:r>
    </w:p>
    <w:p>
      <w:pPr>
        <w:spacing w:before="200" w:after="80"/>
      </w:pPr>
      <w:r>
        <w:rPr>
          <w:rFonts w:ascii="Times New Roman" w:hAnsi="Times New Roman"/>
          <w:b/>
          <w:sz w:val="24"/>
        </w:rPr>
        <w:t>4.3.1 Luhn Algorithm for Credit Card Validation</w:t>
      </w:r>
    </w:p>
    <w:p>
      <w:pPr>
        <w:spacing w:line="360" w:lineRule="auto" w:after="120"/>
        <w:jc w:val="both"/>
      </w:pPr>
      <w:r>
        <w:rPr>
          <w:rFonts w:ascii="Times New Roman" w:hAnsi="Times New Roman"/>
          <w:i w:val="0"/>
          <w:sz w:val="24"/>
        </w:rPr>
        <w:t>The Luhn algorithm (MOD-10) verifies credit card numbers by doubling every second digit from right to left, subtracting 9 from any product over 9, summing all digits, and asserting that the total modulo 10 equals 0. This mathematically filters out non-card 16-digit tracking codes in microseconds.</w:t>
      </w:r>
    </w:p>
    <w:p>
      <w:pPr>
        <w:spacing w:before="200" w:after="80"/>
      </w:pPr>
      <w:r>
        <w:rPr>
          <w:rFonts w:ascii="Times New Roman" w:hAnsi="Times New Roman"/>
          <w:b/>
          <w:sz w:val="24"/>
        </w:rPr>
        <w:t>4.3.2 ISO 7064 MOD-97 Algorithm for IBAN Validation</w:t>
      </w:r>
    </w:p>
    <w:p>
      <w:pPr>
        <w:spacing w:line="360" w:lineRule="auto" w:after="120"/>
        <w:jc w:val="both"/>
      </w:pPr>
      <w:r>
        <w:rPr>
          <w:rFonts w:ascii="Times New Roman" w:hAnsi="Times New Roman"/>
          <w:i w:val="0"/>
          <w:sz w:val="24"/>
        </w:rPr>
        <w:t>IBAN validation rearranges the country code to the end, maps letters to numeric values (A=10 to Z=35), and checks if the integer modulo 97 equals 1, preventing false alarms on international wire transfers.</w:t>
      </w:r>
    </w:p>
    <w:p>
      <w:pPr>
        <w:spacing w:before="200" w:after="80"/>
      </w:pPr>
      <w:r>
        <w:rPr>
          <w:rFonts w:ascii="Times New Roman" w:hAnsi="Times New Roman"/>
          <w:b/>
          <w:sz w:val="24"/>
        </w:rPr>
        <w:t>4.3.3 Reverse-Offset Masking Algorithm</w:t>
      </w:r>
    </w:p>
    <w:p>
      <w:pPr>
        <w:spacing w:line="360" w:lineRule="auto" w:after="120"/>
        <w:jc w:val="both"/>
      </w:pPr>
      <w:r>
        <w:rPr>
          <w:rFonts w:ascii="Times New Roman" w:hAnsi="Times New Roman"/>
          <w:i w:val="0"/>
          <w:sz w:val="24"/>
        </w:rPr>
        <w:t>To prevent character offset drift when redacting multiple entities in a single document, all entity spans are sorted in descending order by start index before replacement. This ensures that preceding character indices remain completely stable throughout the replacement process.</w:t>
      </w:r>
    </w:p>
    <w:p>
      <w:pPr>
        <w:spacing w:before="200" w:after="80"/>
      </w:pPr>
      <w:r>
        <w:rPr>
          <w:rFonts w:ascii="Times New Roman" w:hAnsi="Times New Roman"/>
          <w:b/>
          <w:sz w:val="24"/>
        </w:rPr>
        <w:t>4.3.4 Sliding-Window Transformer Inference</w:t>
      </w:r>
    </w:p>
    <w:p>
      <w:pPr>
        <w:spacing w:line="360" w:lineRule="auto" w:after="120"/>
        <w:jc w:val="both"/>
      </w:pPr>
      <w:r>
        <w:rPr>
          <w:rFonts w:ascii="Times New Roman" w:hAnsi="Times New Roman"/>
          <w:i w:val="0"/>
          <w:sz w:val="24"/>
        </w:rPr>
        <w:t>To inspect multi-page documents exceeding the 256-token limit, text is divided into 256-token windows with 50-token overlap. If any window yields a Restricted class probability exceeding 0.35, the entire document is escalated to Restricted.</w:t>
      </w:r>
    </w:p>
    <w:p>
      <w:pPr>
        <w:spacing w:before="280" w:after="120"/>
      </w:pPr>
      <w:r>
        <w:rPr>
          <w:rFonts w:ascii="Times New Roman" w:hAnsi="Times New Roman"/>
          <w:b/>
          <w:sz w:val="28"/>
        </w:rPr>
        <w:t>4.4 Details of Hardware &amp; Software</w:t>
      </w:r>
    </w:p>
    <w:p>
      <w:pPr>
        <w:spacing w:before="200" w:after="80"/>
      </w:pPr>
      <w:r>
        <w:rPr>
          <w:rFonts w:ascii="Times New Roman" w:hAnsi="Times New Roman"/>
          <w:b/>
          <w:sz w:val="24"/>
        </w:rPr>
        <w:t>4.4.1 Hardware Requirements</w:t>
      </w:r>
    </w:p>
    <w:p>
      <w:pPr>
        <w:pStyle w:val="ListBullet"/>
        <w:spacing w:line="360" w:lineRule="auto" w:after="80"/>
        <w:jc w:val="both"/>
      </w:pPr>
      <w:r>
        <w:rPr>
          <w:rFonts w:ascii="Times New Roman" w:hAnsi="Times New Roman"/>
          <w:b/>
          <w:sz w:val="24"/>
        </w:rPr>
        <w:t xml:space="preserve">• Processor (CPU): </w:t>
      </w:r>
      <w:r>
        <w:rPr>
          <w:rFonts w:ascii="Times New Roman" w:hAnsi="Times New Roman"/>
          <w:sz w:val="24"/>
        </w:rPr>
        <w:t>Intel Core i5/i7 or AMD Ryzen 5 and above (4 cores minimum)</w:t>
      </w:r>
    </w:p>
    <w:p>
      <w:pPr>
        <w:pStyle w:val="ListBullet"/>
        <w:spacing w:line="360" w:lineRule="auto" w:after="80"/>
        <w:jc w:val="both"/>
      </w:pPr>
      <w:r>
        <w:rPr>
          <w:rFonts w:ascii="Times New Roman" w:hAnsi="Times New Roman"/>
          <w:b/>
          <w:sz w:val="24"/>
        </w:rPr>
        <w:t xml:space="preserve">• RAM: </w:t>
      </w:r>
      <w:r>
        <w:rPr>
          <w:rFonts w:ascii="Times New Roman" w:hAnsi="Times New Roman"/>
          <w:sz w:val="24"/>
        </w:rPr>
        <w:t>Minimum 8 GB (16 GB recommended for multi-service execution)</w:t>
      </w:r>
    </w:p>
    <w:p>
      <w:pPr>
        <w:pStyle w:val="ListBullet"/>
        <w:spacing w:line="360" w:lineRule="auto" w:after="80"/>
        <w:jc w:val="both"/>
      </w:pPr>
      <w:r>
        <w:rPr>
          <w:rFonts w:ascii="Times New Roman" w:hAnsi="Times New Roman"/>
          <w:b/>
          <w:sz w:val="24"/>
        </w:rPr>
        <w:t xml:space="preserve">• Storage: </w:t>
      </w:r>
      <w:r>
        <w:rPr>
          <w:rFonts w:ascii="Times New Roman" w:hAnsi="Times New Roman"/>
          <w:sz w:val="24"/>
        </w:rPr>
        <w:t>SSD with at least 256 GB free space</w:t>
      </w:r>
    </w:p>
    <w:p>
      <w:pPr>
        <w:pStyle w:val="ListBullet"/>
        <w:spacing w:line="360" w:lineRule="auto" w:after="80"/>
        <w:jc w:val="both"/>
      </w:pPr>
      <w:r>
        <w:rPr>
          <w:rFonts w:ascii="Times New Roman" w:hAnsi="Times New Roman"/>
          <w:b/>
          <w:sz w:val="24"/>
        </w:rPr>
        <w:t xml:space="preserve">• Network: </w:t>
      </w:r>
      <w:r>
        <w:rPr>
          <w:rFonts w:ascii="Times New Roman" w:hAnsi="Times New Roman"/>
          <w:sz w:val="24"/>
        </w:rPr>
        <w:t>Standard local loopback network interface (127.0.0.1)</w:t>
      </w:r>
    </w:p>
    <w:p>
      <w:pPr>
        <w:spacing w:before="200" w:after="80"/>
      </w:pPr>
      <w:r>
        <w:rPr>
          <w:rFonts w:ascii="Times New Roman" w:hAnsi="Times New Roman"/>
          <w:b/>
          <w:sz w:val="24"/>
        </w:rPr>
        <w:t>4.4.2 Software Requirements</w:t>
      </w:r>
    </w:p>
    <w:p>
      <w:pPr>
        <w:pStyle w:val="ListBullet"/>
        <w:spacing w:line="360" w:lineRule="auto" w:after="80"/>
        <w:jc w:val="both"/>
      </w:pPr>
      <w:r>
        <w:rPr>
          <w:rFonts w:ascii="Times New Roman" w:hAnsi="Times New Roman"/>
          <w:b/>
          <w:sz w:val="24"/>
        </w:rPr>
        <w:t xml:space="preserve">• Operating System: </w:t>
      </w:r>
      <w:r>
        <w:rPr>
          <w:rFonts w:ascii="Times New Roman" w:hAnsi="Times New Roman"/>
          <w:sz w:val="24"/>
        </w:rPr>
        <w:t>Windows 11 / Linux (Ubuntu 22.04 LTS) / macOS</w:t>
      </w:r>
    </w:p>
    <w:p>
      <w:pPr>
        <w:pStyle w:val="ListBullet"/>
        <w:spacing w:line="360" w:lineRule="auto" w:after="80"/>
        <w:jc w:val="both"/>
      </w:pPr>
      <w:r>
        <w:rPr>
          <w:rFonts w:ascii="Times New Roman" w:hAnsi="Times New Roman"/>
          <w:b/>
          <w:sz w:val="24"/>
        </w:rPr>
        <w:t xml:space="preserve">• Programming Languages: </w:t>
      </w:r>
      <w:r>
        <w:rPr>
          <w:rFonts w:ascii="Times New Roman" w:hAnsi="Times New Roman"/>
          <w:sz w:val="24"/>
        </w:rPr>
        <w:t>Python 3.11+, JavaScript (Node.js 20+)</w:t>
      </w:r>
    </w:p>
    <w:p>
      <w:pPr>
        <w:pStyle w:val="ListBullet"/>
        <w:spacing w:line="360" w:lineRule="auto" w:after="80"/>
        <w:jc w:val="both"/>
      </w:pPr>
      <w:r>
        <w:rPr>
          <w:rFonts w:ascii="Times New Roman" w:hAnsi="Times New Roman"/>
          <w:b/>
          <w:sz w:val="24"/>
        </w:rPr>
        <w:t xml:space="preserve">• Backend Frameworks: </w:t>
      </w:r>
      <w:r>
        <w:rPr>
          <w:rFonts w:ascii="Times New Roman" w:hAnsi="Times New Roman"/>
          <w:sz w:val="24"/>
        </w:rPr>
        <w:t>FastAPI (Python AI Service), Spring Boot 3.5 (Gateway)</w:t>
      </w:r>
    </w:p>
    <w:p>
      <w:pPr>
        <w:pStyle w:val="ListBullet"/>
        <w:spacing w:line="360" w:lineRule="auto" w:after="80"/>
        <w:jc w:val="both"/>
      </w:pPr>
      <w:r>
        <w:rPr>
          <w:rFonts w:ascii="Times New Roman" w:hAnsi="Times New Roman"/>
          <w:b/>
          <w:sz w:val="24"/>
        </w:rPr>
        <w:t xml:space="preserve">• Frontend Framework: </w:t>
      </w:r>
      <w:r>
        <w:rPr>
          <w:rFonts w:ascii="Times New Roman" w:hAnsi="Times New Roman"/>
          <w:sz w:val="24"/>
        </w:rPr>
        <w:t>React.js 19 / Vite / TailwindCSS</w:t>
      </w:r>
    </w:p>
    <w:p>
      <w:pPr>
        <w:pStyle w:val="ListBullet"/>
        <w:spacing w:line="360" w:lineRule="auto" w:after="80"/>
        <w:jc w:val="both"/>
      </w:pPr>
      <w:r>
        <w:rPr>
          <w:rFonts w:ascii="Times New Roman" w:hAnsi="Times New Roman"/>
          <w:b/>
          <w:sz w:val="24"/>
        </w:rPr>
        <w:t xml:space="preserve">• Database: </w:t>
      </w:r>
      <w:r>
        <w:rPr>
          <w:rFonts w:ascii="Times New Roman" w:hAnsi="Times New Roman"/>
          <w:sz w:val="24"/>
        </w:rPr>
        <w:t>PostgreSQL 15 (Relational Storage &amp; Audit Trail)</w:t>
      </w:r>
    </w:p>
    <w:p>
      <w:pPr>
        <w:pStyle w:val="ListBullet"/>
        <w:spacing w:line="360" w:lineRule="auto" w:after="80"/>
        <w:jc w:val="both"/>
      </w:pPr>
      <w:r>
        <w:rPr>
          <w:rFonts w:ascii="Times New Roman" w:hAnsi="Times New Roman"/>
          <w:b/>
          <w:sz w:val="24"/>
        </w:rPr>
        <w:t xml:space="preserve">• Machine Learning Runtime: </w:t>
      </w:r>
      <w:r>
        <w:rPr>
          <w:rFonts w:ascii="Times New Roman" w:hAnsi="Times New Roman"/>
          <w:sz w:val="24"/>
        </w:rPr>
        <w:t>ONNX Runtime (INT8 CPUExecutionProvider), Hugging Face Transformers</w:t>
      </w:r>
    </w:p>
    <w:p>
      <w:pPr>
        <w:pStyle w:val="ListBullet"/>
        <w:spacing w:line="360" w:lineRule="auto" w:after="80"/>
        <w:jc w:val="both"/>
      </w:pPr>
      <w:r>
        <w:rPr>
          <w:rFonts w:ascii="Times New Roman" w:hAnsi="Times New Roman"/>
          <w:b/>
          <w:sz w:val="24"/>
        </w:rPr>
        <w:t xml:space="preserve">• Document &amp; OCR Libraries: </w:t>
      </w:r>
      <w:r>
        <w:rPr>
          <w:rFonts w:ascii="Times New Roman" w:hAnsi="Times New Roman"/>
          <w:sz w:val="24"/>
        </w:rPr>
        <w:t>PyMuPDF (fitz), python-docx, openpyxl, EasyOCR</w:t>
      </w:r>
    </w:p>
    <w:p>
      <w:r>
        <w:br w:type="page"/>
      </w:r>
    </w:p>
    <w:p>
      <w:pPr>
        <w:spacing w:before="360" w:after="240"/>
      </w:pPr>
      <w:r>
        <w:rPr>
          <w:rFonts w:ascii="Times New Roman" w:hAnsi="Times New Roman"/>
          <w:b/>
          <w:sz w:val="32"/>
        </w:rPr>
        <w:t>Chapter 5</w:t>
        <w:br/>
        <w:t>Results and Discussions</w:t>
      </w:r>
    </w:p>
    <w:p>
      <w:pPr>
        <w:spacing w:before="280" w:after="120"/>
      </w:pPr>
      <w:r>
        <w:rPr>
          <w:rFonts w:ascii="Times New Roman" w:hAnsi="Times New Roman"/>
          <w:b/>
          <w:sz w:val="28"/>
        </w:rPr>
        <w:t>5.1 Implementation</w:t>
      </w:r>
    </w:p>
    <w:p>
      <w:pPr>
        <w:spacing w:before="200" w:after="80"/>
      </w:pPr>
      <w:r>
        <w:rPr>
          <w:rFonts w:ascii="Times New Roman" w:hAnsi="Times New Roman"/>
          <w:b/>
          <w:sz w:val="24"/>
        </w:rPr>
        <w:t>5.1.1 User Interface Overview</w:t>
      </w:r>
    </w:p>
    <w:p>
      <w:pPr>
        <w:spacing w:line="360" w:lineRule="auto" w:after="120"/>
        <w:jc w:val="both"/>
      </w:pPr>
      <w:r>
        <w:rPr>
          <w:rFonts w:ascii="Times New Roman" w:hAnsi="Times New Roman"/>
          <w:i w:val="0"/>
          <w:sz w:val="24"/>
        </w:rPr>
        <w:t>The screenshot above illustrates the user interface of our React-based web application for enterprise Data Leakage Prevention and SOC incident monitoring (Figure 5.1).</w:t>
      </w:r>
    </w:p>
    <w:p>
      <w:pPr>
        <w:spacing w:before="160" w:after="80"/>
        <w:jc w:val="center"/>
      </w:pPr>
      <w:r>
        <w:drawing>
          <wp:inline xmlns:a="http://schemas.openxmlformats.org/drawingml/2006/main" xmlns:pic="http://schemas.openxmlformats.org/drawingml/2006/picture">
            <wp:extent cx="5486400" cy="3017520"/>
            <wp:docPr id="7" name="Picture 7"/>
            <wp:cNvGraphicFramePr>
              <a:graphicFrameLocks noChangeAspect="1"/>
            </wp:cNvGraphicFramePr>
            <a:graphic>
              <a:graphicData uri="http://schemas.openxmlformats.org/drawingml/2006/picture">
                <pic:pic>
                  <pic:nvPicPr>
                    <pic:cNvPr id="0" name="fig5_1_ui.png"/>
                    <pic:cNvPicPr/>
                  </pic:nvPicPr>
                  <pic:blipFill>
                    <a:blip r:embed="rId15"/>
                    <a:stretch>
                      <a:fillRect/>
                    </a:stretch>
                  </pic:blipFill>
                  <pic:spPr>
                    <a:xfrm>
                      <a:off x="0" y="0"/>
                      <a:ext cx="5486400" cy="3017520"/>
                    </a:xfrm>
                    <a:prstGeom prst="rect"/>
                  </pic:spPr>
                </pic:pic>
              </a:graphicData>
            </a:graphic>
          </wp:inline>
        </w:drawing>
      </w:r>
    </w:p>
    <w:p>
      <w:pPr>
        <w:spacing w:after="240"/>
        <w:jc w:val="center"/>
      </w:pPr>
      <w:r>
        <w:rPr>
          <w:rFonts w:ascii="Times New Roman" w:hAnsi="Times New Roman"/>
          <w:b/>
          <w:sz w:val="21"/>
        </w:rPr>
        <w:t>Figure 5.1: User Interface</w:t>
      </w:r>
    </w:p>
    <w:p>
      <w:pPr>
        <w:spacing w:before="200" w:after="80"/>
      </w:pPr>
      <w:r>
        <w:rPr>
          <w:rFonts w:ascii="Times New Roman" w:hAnsi="Times New Roman"/>
          <w:b/>
          <w:sz w:val="24"/>
        </w:rPr>
        <w:t>5.1.2 Key Features</w:t>
      </w:r>
    </w:p>
    <w:p>
      <w:pPr>
        <w:pStyle w:val="ListBullet"/>
        <w:spacing w:line="360" w:lineRule="auto" w:after="80"/>
        <w:jc w:val="both"/>
      </w:pPr>
      <w:r>
        <w:rPr>
          <w:rFonts w:ascii="Times New Roman" w:hAnsi="Times New Roman"/>
          <w:b/>
          <w:sz w:val="24"/>
        </w:rPr>
        <w:t xml:space="preserve">• Multi-Touchpoint Ingestion: </w:t>
      </w:r>
      <w:r>
        <w:rPr>
          <w:rFonts w:ascii="Times New Roman" w:hAnsi="Times New Roman"/>
          <w:sz w:val="24"/>
        </w:rPr>
        <w:t>Intercepts clipboard data, web form entries, and file attachments across enterprise applications.</w:t>
      </w:r>
    </w:p>
    <w:p>
      <w:pPr>
        <w:pStyle w:val="ListBullet"/>
        <w:spacing w:line="360" w:lineRule="auto" w:after="80"/>
        <w:jc w:val="both"/>
      </w:pPr>
      <w:r>
        <w:rPr>
          <w:rFonts w:ascii="Times New Roman" w:hAnsi="Times New Roman"/>
          <w:b/>
          <w:sz w:val="24"/>
        </w:rPr>
        <w:t xml:space="preserve">• Real-Time Threat Telemetry: </w:t>
      </w:r>
      <w:r>
        <w:rPr>
          <w:rFonts w:ascii="Times New Roman" w:hAnsi="Times New Roman"/>
          <w:sz w:val="24"/>
        </w:rPr>
        <w:t>Displays live incident feeds, classified sensitivity tiers, and dynamic risk scores.</w:t>
      </w:r>
    </w:p>
    <w:p>
      <w:pPr>
        <w:pStyle w:val="ListBullet"/>
        <w:spacing w:line="360" w:lineRule="auto" w:after="80"/>
        <w:jc w:val="both"/>
      </w:pPr>
      <w:r>
        <w:rPr>
          <w:rFonts w:ascii="Times New Roman" w:hAnsi="Times New Roman"/>
          <w:b/>
          <w:sz w:val="24"/>
        </w:rPr>
        <w:t xml:space="preserve">• Administrative Overrides: </w:t>
      </w:r>
      <w:r>
        <w:rPr>
          <w:rFonts w:ascii="Times New Roman" w:hAnsi="Times New Roman"/>
          <w:sz w:val="24"/>
        </w:rPr>
        <w:t>Enables security officers to review flagged transfers and grant verified policy overrides.</w:t>
      </w:r>
    </w:p>
    <w:p>
      <w:pPr>
        <w:spacing w:before="200" w:after="80"/>
      </w:pPr>
      <w:r>
        <w:rPr>
          <w:rFonts w:ascii="Times New Roman" w:hAnsi="Times New Roman"/>
          <w:b/>
          <w:sz w:val="24"/>
        </w:rPr>
        <w:t>5.1.3 File Upload Functionality</w:t>
      </w:r>
    </w:p>
    <w:p>
      <w:pPr>
        <w:spacing w:line="360" w:lineRule="auto" w:after="120"/>
        <w:jc w:val="both"/>
      </w:pPr>
      <w:r>
        <w:rPr>
          <w:rFonts w:ascii="Times New Roman" w:hAnsi="Times New Roman"/>
          <w:i w:val="0"/>
          <w:sz w:val="24"/>
        </w:rPr>
        <w:t>The screenshot displays the file selection dialog triggered by the file upload interface. This feature allows users to inspect documents up to 50MB in size across .pdf, .xlsx, and .docx formats (Figure 5.2).</w:t>
      </w:r>
    </w:p>
    <w:p>
      <w:pPr>
        <w:spacing w:before="160" w:after="8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ig5_2_upload.png"/>
                    <pic:cNvPicPr/>
                  </pic:nvPicPr>
                  <pic:blipFill>
                    <a:blip r:embed="rId16"/>
                    <a:stretch>
                      <a:fillRect/>
                    </a:stretch>
                  </pic:blipFill>
                  <pic:spPr>
                    <a:xfrm>
                      <a:off x="0" y="0"/>
                      <a:ext cx="5029200" cy="2828925"/>
                    </a:xfrm>
                    <a:prstGeom prst="rect"/>
                  </pic:spPr>
                </pic:pic>
              </a:graphicData>
            </a:graphic>
          </wp:inline>
        </w:drawing>
      </w:r>
    </w:p>
    <w:p>
      <w:pPr>
        <w:spacing w:after="240"/>
        <w:jc w:val="center"/>
      </w:pPr>
      <w:r>
        <w:rPr>
          <w:rFonts w:ascii="Times New Roman" w:hAnsi="Times New Roman"/>
          <w:b/>
          <w:sz w:val="21"/>
        </w:rPr>
        <w:t>Figure 5.2: File Upload Interface</w:t>
      </w:r>
    </w:p>
    <w:p>
      <w:pPr>
        <w:spacing w:line="360" w:lineRule="auto" w:after="120"/>
        <w:jc w:val="both"/>
      </w:pPr>
      <w:r>
        <w:rPr>
          <w:rFonts w:ascii="Times New Roman" w:hAnsi="Times New Roman"/>
          <w:i w:val="0"/>
          <w:sz w:val="24"/>
        </w:rPr>
        <w:t>When a file is selected, it is immediately parsed using PyMuPDF and python-docx to extract textual and tabular content. Scanned images are processed via EasyOCR. The extracted content becomes the input for downstream classification and policy enforcement tasks.</w:t>
      </w:r>
    </w:p>
    <w:p>
      <w:pPr>
        <w:spacing w:before="200" w:after="80"/>
      </w:pPr>
      <w:r>
        <w:rPr>
          <w:rFonts w:ascii="Times New Roman" w:hAnsi="Times New Roman"/>
          <w:b/>
          <w:sz w:val="24"/>
        </w:rPr>
        <w:t>5.1.4 Model Selection</w:t>
      </w:r>
    </w:p>
    <w:p>
      <w:pPr>
        <w:spacing w:line="360" w:lineRule="auto" w:after="120"/>
        <w:jc w:val="both"/>
      </w:pPr>
      <w:r>
        <w:rPr>
          <w:rFonts w:ascii="Times New Roman" w:hAnsi="Times New Roman"/>
          <w:i w:val="0"/>
          <w:sz w:val="24"/>
        </w:rPr>
        <w:t>The system configuration panel enables administrators to select active classifier engines and adjust policy thresholds (Figure 5.3).</w:t>
      </w:r>
    </w:p>
    <w:p>
      <w:pPr>
        <w:spacing w:before="160" w:after="8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ig5_3_model_selection.png"/>
                    <pic:cNvPicPr/>
                  </pic:nvPicPr>
                  <pic:blipFill>
                    <a:blip r:embed="rId17"/>
                    <a:stretch>
                      <a:fillRect/>
                    </a:stretch>
                  </pic:blipFill>
                  <pic:spPr>
                    <a:xfrm>
                      <a:off x="0" y="0"/>
                      <a:ext cx="5029200" cy="2828925"/>
                    </a:xfrm>
                    <a:prstGeom prst="rect"/>
                  </pic:spPr>
                </pic:pic>
              </a:graphicData>
            </a:graphic>
          </wp:inline>
        </w:drawing>
      </w:r>
    </w:p>
    <w:p>
      <w:pPr>
        <w:spacing w:after="240"/>
        <w:jc w:val="center"/>
      </w:pPr>
      <w:r>
        <w:rPr>
          <w:rFonts w:ascii="Times New Roman" w:hAnsi="Times New Roman"/>
          <w:b/>
          <w:sz w:val="21"/>
        </w:rPr>
        <w:t>Figure 5.3: Model Selection Interface</w:t>
      </w:r>
    </w:p>
    <w:p>
      <w:pPr>
        <w:spacing w:before="200" w:after="80"/>
      </w:pPr>
      <w:r>
        <w:rPr>
          <w:rFonts w:ascii="Times New Roman" w:hAnsi="Times New Roman"/>
          <w:b/>
          <w:sz w:val="24"/>
        </w:rPr>
        <w:t>5.1.5 Query and Response Generation / Real-Time Masking</w:t>
      </w:r>
    </w:p>
    <w:p>
      <w:pPr>
        <w:spacing w:line="360" w:lineRule="auto" w:after="120"/>
        <w:jc w:val="both"/>
      </w:pPr>
      <w:r>
        <w:rPr>
          <w:rFonts w:ascii="Times New Roman" w:hAnsi="Times New Roman"/>
          <w:i w:val="0"/>
          <w:sz w:val="24"/>
        </w:rPr>
        <w:t>Figure 5.4 displays an intercepted transaction payload containing customer bank details and credit card numbers, showing real-time Luhn/MOD-97 checksum verification and surgical reverse-offset masking.</w:t>
      </w:r>
    </w:p>
    <w:p>
      <w:pPr>
        <w:spacing w:before="160" w:after="80"/>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fig5_4_response.png"/>
                    <pic:cNvPicPr/>
                  </pic:nvPicPr>
                  <pic:blipFill>
                    <a:blip r:embed="rId18"/>
                    <a:stretch>
                      <a:fillRect/>
                    </a:stretch>
                  </pic:blipFill>
                  <pic:spPr>
                    <a:xfrm>
                      <a:off x="0" y="0"/>
                      <a:ext cx="5303520" cy="2651760"/>
                    </a:xfrm>
                    <a:prstGeom prst="rect"/>
                  </pic:spPr>
                </pic:pic>
              </a:graphicData>
            </a:graphic>
          </wp:inline>
        </w:drawing>
      </w:r>
    </w:p>
    <w:p>
      <w:pPr>
        <w:spacing w:after="240"/>
        <w:jc w:val="center"/>
      </w:pPr>
      <w:r>
        <w:rPr>
          <w:rFonts w:ascii="Times New Roman" w:hAnsi="Times New Roman"/>
          <w:b/>
          <w:sz w:val="21"/>
        </w:rPr>
        <w:t>Figure 5.4: Response Generation Example</w:t>
      </w:r>
    </w:p>
    <w:p>
      <w:pPr>
        <w:spacing w:before="280" w:after="120"/>
      </w:pPr>
      <w:r>
        <w:rPr>
          <w:rFonts w:ascii="Times New Roman" w:hAnsi="Times New Roman"/>
          <w:b/>
          <w:sz w:val="28"/>
        </w:rPr>
        <w:t>5.2 Results</w:t>
      </w:r>
    </w:p>
    <w:p>
      <w:pPr>
        <w:spacing w:line="360" w:lineRule="auto" w:after="120"/>
        <w:jc w:val="both"/>
      </w:pPr>
      <w:r>
        <w:rPr>
          <w:rFonts w:ascii="Times New Roman" w:hAnsi="Times New Roman"/>
          <w:i w:val="0"/>
          <w:sz w:val="24"/>
        </w:rPr>
        <w:t>The evaluation of the SecureFlowAI platform was conducted across a benchmark test suite comprising 15,750 unseen corporate documents, 1,343 adversarial UM-DLP evasion cases, and multi-format files across five operational channels. Evaluation metrics were calculated using standard formulations:</w:t>
      </w:r>
    </w:p>
    <w:p>
      <w:pPr>
        <w:pStyle w:val="ListBullet"/>
        <w:spacing w:line="360" w:lineRule="auto" w:after="80"/>
        <w:jc w:val="both"/>
      </w:pPr>
      <w:r>
        <w:rPr>
          <w:rFonts w:ascii="Times New Roman" w:hAnsi="Times New Roman"/>
          <w:b/>
          <w:sz w:val="24"/>
        </w:rPr>
        <w:t xml:space="preserve">• Precision: </w:t>
      </w:r>
      <w:r>
        <w:rPr>
          <w:rFonts w:ascii="Times New Roman" w:hAnsi="Times New Roman"/>
          <w:sz w:val="24"/>
        </w:rPr>
        <w:t>The ratio of correctly identified sensitive entities to total identified entities: Precision = TP / (TP + FP)</w:t>
      </w:r>
    </w:p>
    <w:p>
      <w:pPr>
        <w:pStyle w:val="ListBullet"/>
        <w:spacing w:line="360" w:lineRule="auto" w:after="80"/>
        <w:jc w:val="both"/>
      </w:pPr>
      <w:r>
        <w:rPr>
          <w:rFonts w:ascii="Times New Roman" w:hAnsi="Times New Roman"/>
          <w:b/>
          <w:sz w:val="24"/>
        </w:rPr>
        <w:t xml:space="preserve">• Recall: </w:t>
      </w:r>
      <w:r>
        <w:rPr>
          <w:rFonts w:ascii="Times New Roman" w:hAnsi="Times New Roman"/>
          <w:sz w:val="24"/>
        </w:rPr>
        <w:t>The ratio of correctly identified sensitive entities to all actual sensitive entities: Recall = TP / (TP + FN)</w:t>
      </w:r>
    </w:p>
    <w:p>
      <w:pPr>
        <w:pStyle w:val="ListBullet"/>
        <w:spacing w:line="360" w:lineRule="auto" w:after="80"/>
        <w:jc w:val="both"/>
      </w:pPr>
      <w:r>
        <w:rPr>
          <w:rFonts w:ascii="Times New Roman" w:hAnsi="Times New Roman"/>
          <w:b/>
          <w:sz w:val="24"/>
        </w:rPr>
        <w:t xml:space="preserve">• Accuracy: </w:t>
      </w:r>
      <w:r>
        <w:rPr>
          <w:rFonts w:ascii="Times New Roman" w:hAnsi="Times New Roman"/>
          <w:sz w:val="24"/>
        </w:rPr>
        <w:t>The proportion of correct classification predictions: Accuracy = (TP + TN) / Total Predictions</w:t>
      </w:r>
    </w:p>
    <w:p>
      <w:pPr>
        <w:pStyle w:val="ListBullet"/>
        <w:spacing w:line="360" w:lineRule="auto" w:after="80"/>
        <w:jc w:val="both"/>
      </w:pPr>
      <w:r>
        <w:rPr>
          <w:rFonts w:ascii="Times New Roman" w:hAnsi="Times New Roman"/>
          <w:b/>
          <w:sz w:val="24"/>
        </w:rPr>
        <w:t xml:space="preserve">• F1-Score: </w:t>
      </w:r>
      <w:r>
        <w:rPr>
          <w:rFonts w:ascii="Times New Roman" w:hAnsi="Times New Roman"/>
          <w:sz w:val="24"/>
        </w:rPr>
        <w:t>The harmonic mean of precision and recall: F1 = 2 * (Precision * Recall) / (Precision + Recall)</w:t>
      </w:r>
    </w:p>
    <w:p>
      <w:pPr>
        <w:spacing w:before="160" w:after="80"/>
        <w:jc w:val="center"/>
      </w:pPr>
      <w:r>
        <w:drawing>
          <wp:inline xmlns:a="http://schemas.openxmlformats.org/drawingml/2006/main" xmlns:pic="http://schemas.openxmlformats.org/drawingml/2006/picture">
            <wp:extent cx="5486400" cy="2244436"/>
            <wp:docPr id="11" name="Picture 11"/>
            <wp:cNvGraphicFramePr>
              <a:graphicFrameLocks noChangeAspect="1"/>
            </wp:cNvGraphicFramePr>
            <a:graphic>
              <a:graphicData uri="http://schemas.openxmlformats.org/drawingml/2006/picture">
                <pic:pic>
                  <pic:nvPicPr>
                    <pic:cNvPr id="0" name="fig5_5_metrics.png"/>
                    <pic:cNvPicPr/>
                  </pic:nvPicPr>
                  <pic:blipFill>
                    <a:blip r:embed="rId19"/>
                    <a:stretch>
                      <a:fillRect/>
                    </a:stretch>
                  </pic:blipFill>
                  <pic:spPr>
                    <a:xfrm>
                      <a:off x="0" y="0"/>
                      <a:ext cx="5486400" cy="2244436"/>
                    </a:xfrm>
                    <a:prstGeom prst="rect"/>
                  </pic:spPr>
                </pic:pic>
              </a:graphicData>
            </a:graphic>
          </wp:inline>
        </w:drawing>
      </w:r>
    </w:p>
    <w:p>
      <w:pPr>
        <w:spacing w:after="240"/>
        <w:jc w:val="center"/>
      </w:pPr>
      <w:r>
        <w:rPr>
          <w:rFonts w:ascii="Times New Roman" w:hAnsi="Times New Roman"/>
          <w:b/>
          <w:sz w:val="21"/>
        </w:rPr>
        <w:t>Figure 5.5: Evaluation Metrics Visualization</w:t>
      </w:r>
    </w:p>
    <w:p>
      <w:pPr>
        <w:spacing w:line="360" w:lineRule="auto" w:after="120"/>
        <w:jc w:val="both"/>
      </w:pPr>
      <w:r>
        <w:rPr>
          <w:rFonts w:ascii="Times New Roman" w:hAnsi="Times New Roman"/>
          <w:i w:val="0"/>
          <w:sz w:val="24"/>
        </w:rPr>
        <w:t>Table 5.1 details the average and channel-specific evaluation metrics across five representative banking data channels (Browser Form, PDF Upload, Excel Sheet, Scanned KYC, and Clipboard).</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F2F2F2"/>
            <w:tcMar>
              <w:top w:w="70" w:type="dxa"/>
              <w:bottom w:w="70" w:type="dxa"/>
              <w:left w:w="80" w:type="dxa"/>
              <w:right w:w="80" w:type="dxa"/>
            </w:tcMar>
          </w:tcPr>
          <w:p>
            <w:r>
              <w:rPr>
                <w:b/>
              </w:rPr>
              <w:t>Metric</w:t>
            </w:r>
          </w:p>
        </w:tc>
        <w:tc>
          <w:tcPr>
            <w:tcW w:type="dxa" w:w="1234"/>
            <w:shd w:fill="F2F2F2"/>
            <w:tcMar>
              <w:top w:w="70" w:type="dxa"/>
              <w:bottom w:w="70" w:type="dxa"/>
              <w:left w:w="80" w:type="dxa"/>
              <w:right w:w="80" w:type="dxa"/>
            </w:tcMar>
          </w:tcPr>
          <w:p>
            <w:r>
              <w:rPr>
                <w:b/>
              </w:rPr>
              <w:t>Average Score</w:t>
            </w:r>
          </w:p>
        </w:tc>
        <w:tc>
          <w:tcPr>
            <w:tcW w:type="dxa" w:w="1234"/>
            <w:shd w:fill="F2F2F2"/>
            <w:tcMar>
              <w:top w:w="70" w:type="dxa"/>
              <w:bottom w:w="70" w:type="dxa"/>
              <w:left w:w="80" w:type="dxa"/>
              <w:right w:w="80" w:type="dxa"/>
            </w:tcMar>
          </w:tcPr>
          <w:p>
            <w:r>
              <w:rPr>
                <w:b/>
              </w:rPr>
              <w:t>Browser Form</w:t>
            </w:r>
          </w:p>
        </w:tc>
        <w:tc>
          <w:tcPr>
            <w:tcW w:type="dxa" w:w="1234"/>
            <w:shd w:fill="F2F2F2"/>
            <w:tcMar>
              <w:top w:w="70" w:type="dxa"/>
              <w:bottom w:w="70" w:type="dxa"/>
              <w:left w:w="80" w:type="dxa"/>
              <w:right w:w="80" w:type="dxa"/>
            </w:tcMar>
          </w:tcPr>
          <w:p>
            <w:r>
              <w:rPr>
                <w:b/>
              </w:rPr>
              <w:t>PDF Upload</w:t>
            </w:r>
          </w:p>
        </w:tc>
        <w:tc>
          <w:tcPr>
            <w:tcW w:type="dxa" w:w="1234"/>
            <w:shd w:fill="F2F2F2"/>
            <w:tcMar>
              <w:top w:w="70" w:type="dxa"/>
              <w:bottom w:w="70" w:type="dxa"/>
              <w:left w:w="80" w:type="dxa"/>
              <w:right w:w="80" w:type="dxa"/>
            </w:tcMar>
          </w:tcPr>
          <w:p>
            <w:r>
              <w:rPr>
                <w:b/>
              </w:rPr>
              <w:t>Excel Sheet</w:t>
            </w:r>
          </w:p>
        </w:tc>
        <w:tc>
          <w:tcPr>
            <w:tcW w:type="dxa" w:w="1234"/>
            <w:shd w:fill="F2F2F2"/>
            <w:tcMar>
              <w:top w:w="70" w:type="dxa"/>
              <w:bottom w:w="70" w:type="dxa"/>
              <w:left w:w="80" w:type="dxa"/>
              <w:right w:w="80" w:type="dxa"/>
            </w:tcMar>
          </w:tcPr>
          <w:p>
            <w:r>
              <w:rPr>
                <w:b/>
              </w:rPr>
              <w:t>Scanned KYC</w:t>
            </w:r>
          </w:p>
        </w:tc>
        <w:tc>
          <w:tcPr>
            <w:tcW w:type="dxa" w:w="1234"/>
            <w:shd w:fill="F2F2F2"/>
            <w:tcMar>
              <w:top w:w="70" w:type="dxa"/>
              <w:bottom w:w="70" w:type="dxa"/>
              <w:left w:w="80" w:type="dxa"/>
              <w:right w:w="80" w:type="dxa"/>
            </w:tcMar>
          </w:tcPr>
          <w:p>
            <w:r>
              <w:rPr>
                <w:b/>
              </w:rPr>
              <w:t>Clipboard</w:t>
            </w:r>
          </w:p>
        </w:tc>
      </w:tr>
      <w:tr>
        <w:tc>
          <w:tcPr>
            <w:tcW w:type="dxa" w:w="1234"/>
            <w:tcMar>
              <w:top w:w="50" w:type="dxa"/>
              <w:bottom w:w="50" w:type="dxa"/>
              <w:left w:w="80" w:type="dxa"/>
              <w:right w:w="80" w:type="dxa"/>
            </w:tcMar>
          </w:tcPr>
          <w:p>
            <w:pPr>
              <w:spacing w:line="276" w:lineRule="auto" w:after="40"/>
            </w:pPr>
            <w:r>
              <w:t>Precision</w:t>
            </w:r>
          </w:p>
        </w:tc>
        <w:tc>
          <w:tcPr>
            <w:tcW w:type="dxa" w:w="1234"/>
            <w:tcMar>
              <w:top w:w="50" w:type="dxa"/>
              <w:bottom w:w="50" w:type="dxa"/>
              <w:left w:w="80" w:type="dxa"/>
              <w:right w:w="80" w:type="dxa"/>
            </w:tcMar>
          </w:tcPr>
          <w:p>
            <w:pPr>
              <w:spacing w:line="276" w:lineRule="auto" w:after="40"/>
              <w:jc w:val="right"/>
            </w:pPr>
            <w:r>
              <w:t>0.954</w:t>
            </w:r>
          </w:p>
        </w:tc>
        <w:tc>
          <w:tcPr>
            <w:tcW w:type="dxa" w:w="1234"/>
            <w:tcMar>
              <w:top w:w="50" w:type="dxa"/>
              <w:bottom w:w="50" w:type="dxa"/>
              <w:left w:w="80" w:type="dxa"/>
              <w:right w:w="80" w:type="dxa"/>
            </w:tcMar>
          </w:tcPr>
          <w:p>
            <w:pPr>
              <w:spacing w:line="276" w:lineRule="auto" w:after="40"/>
              <w:jc w:val="right"/>
            </w:pPr>
            <w:r>
              <w:t>0.985</w:t>
            </w:r>
          </w:p>
        </w:tc>
        <w:tc>
          <w:tcPr>
            <w:tcW w:type="dxa" w:w="1234"/>
            <w:tcMar>
              <w:top w:w="50" w:type="dxa"/>
              <w:bottom w:w="50" w:type="dxa"/>
              <w:left w:w="80" w:type="dxa"/>
              <w:right w:w="80" w:type="dxa"/>
            </w:tcMar>
          </w:tcPr>
          <w:p>
            <w:pPr>
              <w:spacing w:line="276" w:lineRule="auto" w:after="40"/>
              <w:jc w:val="right"/>
            </w:pPr>
            <w:r>
              <w:t>0.960</w:t>
            </w:r>
          </w:p>
        </w:tc>
        <w:tc>
          <w:tcPr>
            <w:tcW w:type="dxa" w:w="1234"/>
            <w:tcMar>
              <w:top w:w="50" w:type="dxa"/>
              <w:bottom w:w="50" w:type="dxa"/>
              <w:left w:w="80" w:type="dxa"/>
              <w:right w:w="80" w:type="dxa"/>
            </w:tcMar>
          </w:tcPr>
          <w:p>
            <w:pPr>
              <w:spacing w:line="276" w:lineRule="auto" w:after="40"/>
              <w:jc w:val="right"/>
            </w:pPr>
            <w:r>
              <w:t>0.970</w:t>
            </w:r>
          </w:p>
        </w:tc>
        <w:tc>
          <w:tcPr>
            <w:tcW w:type="dxa" w:w="1234"/>
            <w:tcMar>
              <w:top w:w="50" w:type="dxa"/>
              <w:bottom w:w="50" w:type="dxa"/>
              <w:left w:w="80" w:type="dxa"/>
              <w:right w:w="80" w:type="dxa"/>
            </w:tcMar>
          </w:tcPr>
          <w:p>
            <w:pPr>
              <w:spacing w:line="276" w:lineRule="auto" w:after="40"/>
              <w:jc w:val="right"/>
            </w:pPr>
            <w:r>
              <w:t>0.915</w:t>
            </w:r>
          </w:p>
        </w:tc>
        <w:tc>
          <w:tcPr>
            <w:tcW w:type="dxa" w:w="1234"/>
            <w:tcMar>
              <w:top w:w="50" w:type="dxa"/>
              <w:bottom w:w="50" w:type="dxa"/>
              <w:left w:w="80" w:type="dxa"/>
              <w:right w:w="80" w:type="dxa"/>
            </w:tcMar>
          </w:tcPr>
          <w:p>
            <w:pPr>
              <w:spacing w:line="276" w:lineRule="auto" w:after="40"/>
              <w:jc w:val="right"/>
            </w:pPr>
            <w:r>
              <w:t>0.990</w:t>
            </w:r>
          </w:p>
        </w:tc>
      </w:tr>
      <w:tr>
        <w:tc>
          <w:tcPr>
            <w:tcW w:type="dxa" w:w="1234"/>
            <w:tcMar>
              <w:top w:w="50" w:type="dxa"/>
              <w:bottom w:w="50" w:type="dxa"/>
              <w:left w:w="80" w:type="dxa"/>
              <w:right w:w="80" w:type="dxa"/>
            </w:tcMar>
          </w:tcPr>
          <w:p>
            <w:pPr>
              <w:spacing w:line="276" w:lineRule="auto" w:after="40"/>
            </w:pPr>
            <w:r>
              <w:t>Recall</w:t>
            </w:r>
          </w:p>
        </w:tc>
        <w:tc>
          <w:tcPr>
            <w:tcW w:type="dxa" w:w="1234"/>
            <w:tcMar>
              <w:top w:w="50" w:type="dxa"/>
              <w:bottom w:w="50" w:type="dxa"/>
              <w:left w:w="80" w:type="dxa"/>
              <w:right w:w="80" w:type="dxa"/>
            </w:tcMar>
          </w:tcPr>
          <w:p>
            <w:pPr>
              <w:spacing w:line="276" w:lineRule="auto" w:after="40"/>
              <w:jc w:val="right"/>
            </w:pPr>
            <w:r>
              <w:t>0.994</w:t>
            </w:r>
          </w:p>
        </w:tc>
        <w:tc>
          <w:tcPr>
            <w:tcW w:type="dxa" w:w="1234"/>
            <w:tcMar>
              <w:top w:w="50" w:type="dxa"/>
              <w:bottom w:w="50" w:type="dxa"/>
              <w:left w:w="80" w:type="dxa"/>
              <w:right w:w="80" w:type="dxa"/>
            </w:tcMar>
          </w:tcPr>
          <w:p>
            <w:pPr>
              <w:spacing w:line="276" w:lineRule="auto" w:after="40"/>
              <w:jc w:val="right"/>
            </w:pPr>
            <w:r>
              <w:t>1.000</w:t>
            </w:r>
          </w:p>
        </w:tc>
        <w:tc>
          <w:tcPr>
            <w:tcW w:type="dxa" w:w="1234"/>
            <w:tcMar>
              <w:top w:w="50" w:type="dxa"/>
              <w:bottom w:w="50" w:type="dxa"/>
              <w:left w:w="80" w:type="dxa"/>
              <w:right w:w="80" w:type="dxa"/>
            </w:tcMar>
          </w:tcPr>
          <w:p>
            <w:pPr>
              <w:spacing w:line="276" w:lineRule="auto" w:after="40"/>
              <w:jc w:val="right"/>
            </w:pPr>
            <w:r>
              <w:t>0.990</w:t>
            </w:r>
          </w:p>
        </w:tc>
        <w:tc>
          <w:tcPr>
            <w:tcW w:type="dxa" w:w="1234"/>
            <w:tcMar>
              <w:top w:w="50" w:type="dxa"/>
              <w:bottom w:w="50" w:type="dxa"/>
              <w:left w:w="80" w:type="dxa"/>
              <w:right w:w="80" w:type="dxa"/>
            </w:tcMar>
          </w:tcPr>
          <w:p>
            <w:pPr>
              <w:spacing w:line="276" w:lineRule="auto" w:after="40"/>
              <w:jc w:val="right"/>
            </w:pPr>
            <w:r>
              <w:t>0.995</w:t>
            </w:r>
          </w:p>
        </w:tc>
        <w:tc>
          <w:tcPr>
            <w:tcW w:type="dxa" w:w="1234"/>
            <w:tcMar>
              <w:top w:w="50" w:type="dxa"/>
              <w:bottom w:w="50" w:type="dxa"/>
              <w:left w:w="80" w:type="dxa"/>
              <w:right w:w="80" w:type="dxa"/>
            </w:tcMar>
          </w:tcPr>
          <w:p>
            <w:pPr>
              <w:spacing w:line="276" w:lineRule="auto" w:after="40"/>
              <w:jc w:val="right"/>
            </w:pPr>
            <w:r>
              <w:t>0.985</w:t>
            </w:r>
          </w:p>
        </w:tc>
        <w:tc>
          <w:tcPr>
            <w:tcW w:type="dxa" w:w="1234"/>
            <w:tcMar>
              <w:top w:w="50" w:type="dxa"/>
              <w:bottom w:w="50" w:type="dxa"/>
              <w:left w:w="80" w:type="dxa"/>
              <w:right w:w="80" w:type="dxa"/>
            </w:tcMar>
          </w:tcPr>
          <w:p>
            <w:pPr>
              <w:spacing w:line="276" w:lineRule="auto" w:after="40"/>
              <w:jc w:val="right"/>
            </w:pPr>
            <w:r>
              <w:t>1.000</w:t>
            </w:r>
          </w:p>
        </w:tc>
      </w:tr>
      <w:tr>
        <w:tc>
          <w:tcPr>
            <w:tcW w:type="dxa" w:w="1234"/>
            <w:tcMar>
              <w:top w:w="50" w:type="dxa"/>
              <w:bottom w:w="50" w:type="dxa"/>
              <w:left w:w="80" w:type="dxa"/>
              <w:right w:w="80" w:type="dxa"/>
            </w:tcMar>
          </w:tcPr>
          <w:p>
            <w:pPr>
              <w:spacing w:line="276" w:lineRule="auto" w:after="40"/>
            </w:pPr>
            <w:r>
              <w:t>F1-Score</w:t>
            </w:r>
          </w:p>
        </w:tc>
        <w:tc>
          <w:tcPr>
            <w:tcW w:type="dxa" w:w="1234"/>
            <w:tcMar>
              <w:top w:w="50" w:type="dxa"/>
              <w:bottom w:w="50" w:type="dxa"/>
              <w:left w:w="80" w:type="dxa"/>
              <w:right w:w="80" w:type="dxa"/>
            </w:tcMar>
          </w:tcPr>
          <w:p>
            <w:pPr>
              <w:spacing w:line="276" w:lineRule="auto" w:after="40"/>
              <w:jc w:val="right"/>
            </w:pPr>
            <w:r>
              <w:t>0.972</w:t>
            </w:r>
          </w:p>
        </w:tc>
        <w:tc>
          <w:tcPr>
            <w:tcW w:type="dxa" w:w="1234"/>
            <w:tcMar>
              <w:top w:w="50" w:type="dxa"/>
              <w:bottom w:w="50" w:type="dxa"/>
              <w:left w:w="80" w:type="dxa"/>
              <w:right w:w="80" w:type="dxa"/>
            </w:tcMar>
          </w:tcPr>
          <w:p>
            <w:pPr>
              <w:spacing w:line="276" w:lineRule="auto" w:after="40"/>
              <w:jc w:val="right"/>
            </w:pPr>
            <w:r>
              <w:t>0.992</w:t>
            </w:r>
          </w:p>
        </w:tc>
        <w:tc>
          <w:tcPr>
            <w:tcW w:type="dxa" w:w="1234"/>
            <w:tcMar>
              <w:top w:w="50" w:type="dxa"/>
              <w:bottom w:w="50" w:type="dxa"/>
              <w:left w:w="80" w:type="dxa"/>
              <w:right w:w="80" w:type="dxa"/>
            </w:tcMar>
          </w:tcPr>
          <w:p>
            <w:pPr>
              <w:spacing w:line="276" w:lineRule="auto" w:after="40"/>
              <w:jc w:val="right"/>
            </w:pPr>
            <w:r>
              <w:t>0.975</w:t>
            </w:r>
          </w:p>
        </w:tc>
        <w:tc>
          <w:tcPr>
            <w:tcW w:type="dxa" w:w="1234"/>
            <w:tcMar>
              <w:top w:w="50" w:type="dxa"/>
              <w:bottom w:w="50" w:type="dxa"/>
              <w:left w:w="80" w:type="dxa"/>
              <w:right w:w="80" w:type="dxa"/>
            </w:tcMar>
          </w:tcPr>
          <w:p>
            <w:pPr>
              <w:spacing w:line="276" w:lineRule="auto" w:after="40"/>
              <w:jc w:val="right"/>
            </w:pPr>
            <w:r>
              <w:t>0.982</w:t>
            </w:r>
          </w:p>
        </w:tc>
        <w:tc>
          <w:tcPr>
            <w:tcW w:type="dxa" w:w="1234"/>
            <w:tcMar>
              <w:top w:w="50" w:type="dxa"/>
              <w:bottom w:w="50" w:type="dxa"/>
              <w:left w:w="80" w:type="dxa"/>
              <w:right w:w="80" w:type="dxa"/>
            </w:tcMar>
          </w:tcPr>
          <w:p>
            <w:pPr>
              <w:spacing w:line="276" w:lineRule="auto" w:after="40"/>
              <w:jc w:val="right"/>
            </w:pPr>
            <w:r>
              <w:t>0.948</w:t>
            </w:r>
          </w:p>
        </w:tc>
        <w:tc>
          <w:tcPr>
            <w:tcW w:type="dxa" w:w="1234"/>
            <w:tcMar>
              <w:top w:w="50" w:type="dxa"/>
              <w:bottom w:w="50" w:type="dxa"/>
              <w:left w:w="80" w:type="dxa"/>
              <w:right w:w="80" w:type="dxa"/>
            </w:tcMar>
          </w:tcPr>
          <w:p>
            <w:pPr>
              <w:spacing w:line="276" w:lineRule="auto" w:after="40"/>
              <w:jc w:val="right"/>
            </w:pPr>
            <w:r>
              <w:t>0.995</w:t>
            </w:r>
          </w:p>
        </w:tc>
      </w:tr>
      <w:tr>
        <w:tc>
          <w:tcPr>
            <w:tcW w:type="dxa" w:w="1234"/>
            <w:tcMar>
              <w:top w:w="50" w:type="dxa"/>
              <w:bottom w:w="50" w:type="dxa"/>
              <w:left w:w="80" w:type="dxa"/>
              <w:right w:w="80" w:type="dxa"/>
            </w:tcMar>
          </w:tcPr>
          <w:p>
            <w:pPr>
              <w:spacing w:line="276" w:lineRule="auto" w:after="40"/>
            </w:pPr>
            <w:r>
              <w:t>Accuracy</w:t>
            </w:r>
          </w:p>
        </w:tc>
        <w:tc>
          <w:tcPr>
            <w:tcW w:type="dxa" w:w="1234"/>
            <w:tcMar>
              <w:top w:w="50" w:type="dxa"/>
              <w:bottom w:w="50" w:type="dxa"/>
              <w:left w:w="80" w:type="dxa"/>
              <w:right w:w="80" w:type="dxa"/>
            </w:tcMar>
          </w:tcPr>
          <w:p>
            <w:pPr>
              <w:spacing w:line="276" w:lineRule="auto" w:after="40"/>
              <w:jc w:val="right"/>
            </w:pPr>
            <w:r>
              <w:t>0.968</w:t>
            </w:r>
          </w:p>
        </w:tc>
        <w:tc>
          <w:tcPr>
            <w:tcW w:type="dxa" w:w="1234"/>
            <w:tcMar>
              <w:top w:w="50" w:type="dxa"/>
              <w:bottom w:w="50" w:type="dxa"/>
              <w:left w:w="80" w:type="dxa"/>
              <w:right w:w="80" w:type="dxa"/>
            </w:tcMar>
          </w:tcPr>
          <w:p>
            <w:pPr>
              <w:spacing w:line="276" w:lineRule="auto" w:after="40"/>
              <w:jc w:val="right"/>
            </w:pPr>
            <w:r>
              <w:t>0.985</w:t>
            </w:r>
          </w:p>
        </w:tc>
        <w:tc>
          <w:tcPr>
            <w:tcW w:type="dxa" w:w="1234"/>
            <w:tcMar>
              <w:top w:w="50" w:type="dxa"/>
              <w:bottom w:w="50" w:type="dxa"/>
              <w:left w:w="80" w:type="dxa"/>
              <w:right w:w="80" w:type="dxa"/>
            </w:tcMar>
          </w:tcPr>
          <w:p>
            <w:pPr>
              <w:spacing w:line="276" w:lineRule="auto" w:after="40"/>
              <w:jc w:val="right"/>
            </w:pPr>
            <w:r>
              <w:t>0.962</w:t>
            </w:r>
          </w:p>
        </w:tc>
        <w:tc>
          <w:tcPr>
            <w:tcW w:type="dxa" w:w="1234"/>
            <w:tcMar>
              <w:top w:w="50" w:type="dxa"/>
              <w:bottom w:w="50" w:type="dxa"/>
              <w:left w:w="80" w:type="dxa"/>
              <w:right w:w="80" w:type="dxa"/>
            </w:tcMar>
          </w:tcPr>
          <w:p>
            <w:pPr>
              <w:spacing w:line="276" w:lineRule="auto" w:after="40"/>
              <w:jc w:val="right"/>
            </w:pPr>
            <w:r>
              <w:t>0.974</w:t>
            </w:r>
          </w:p>
        </w:tc>
        <w:tc>
          <w:tcPr>
            <w:tcW w:type="dxa" w:w="1234"/>
            <w:tcMar>
              <w:top w:w="50" w:type="dxa"/>
              <w:bottom w:w="50" w:type="dxa"/>
              <w:left w:w="80" w:type="dxa"/>
              <w:right w:w="80" w:type="dxa"/>
            </w:tcMar>
          </w:tcPr>
          <w:p>
            <w:pPr>
              <w:spacing w:line="276" w:lineRule="auto" w:after="40"/>
              <w:jc w:val="right"/>
            </w:pPr>
            <w:r>
              <w:t>0.948</w:t>
            </w:r>
          </w:p>
        </w:tc>
        <w:tc>
          <w:tcPr>
            <w:tcW w:type="dxa" w:w="1234"/>
            <w:tcMar>
              <w:top w:w="50" w:type="dxa"/>
              <w:bottom w:w="50" w:type="dxa"/>
              <w:left w:w="80" w:type="dxa"/>
              <w:right w:w="80" w:type="dxa"/>
            </w:tcMar>
          </w:tcPr>
          <w:p>
            <w:pPr>
              <w:spacing w:line="276" w:lineRule="auto" w:after="40"/>
              <w:jc w:val="right"/>
            </w:pPr>
            <w:r>
              <w:t>0.991</w:t>
            </w:r>
          </w:p>
        </w:tc>
      </w:tr>
      <w:tr>
        <w:tc>
          <w:tcPr>
            <w:tcW w:type="dxa" w:w="1234"/>
            <w:tcMar>
              <w:top w:w="50" w:type="dxa"/>
              <w:bottom w:w="50" w:type="dxa"/>
              <w:left w:w="80" w:type="dxa"/>
              <w:right w:w="80" w:type="dxa"/>
            </w:tcMar>
          </w:tcPr>
          <w:p>
            <w:pPr>
              <w:spacing w:line="276" w:lineRule="auto" w:after="40"/>
            </w:pPr>
            <w:r>
              <w:t>Adv. Defense</w:t>
            </w:r>
          </w:p>
        </w:tc>
        <w:tc>
          <w:tcPr>
            <w:tcW w:type="dxa" w:w="1234"/>
            <w:tcMar>
              <w:top w:w="50" w:type="dxa"/>
              <w:bottom w:w="50" w:type="dxa"/>
              <w:left w:w="80" w:type="dxa"/>
              <w:right w:w="80" w:type="dxa"/>
            </w:tcMar>
          </w:tcPr>
          <w:p>
            <w:pPr>
              <w:spacing w:line="276" w:lineRule="auto" w:after="40"/>
              <w:jc w:val="right"/>
            </w:pPr>
            <w:r>
              <w:t>0.924</w:t>
            </w:r>
          </w:p>
        </w:tc>
        <w:tc>
          <w:tcPr>
            <w:tcW w:type="dxa" w:w="1234"/>
            <w:tcMar>
              <w:top w:w="50" w:type="dxa"/>
              <w:bottom w:w="50" w:type="dxa"/>
              <w:left w:w="80" w:type="dxa"/>
              <w:right w:w="80" w:type="dxa"/>
            </w:tcMar>
          </w:tcPr>
          <w:p>
            <w:pPr>
              <w:spacing w:line="276" w:lineRule="auto" w:after="40"/>
              <w:jc w:val="right"/>
            </w:pPr>
            <w:r>
              <w:t>0.950</w:t>
            </w:r>
          </w:p>
        </w:tc>
        <w:tc>
          <w:tcPr>
            <w:tcW w:type="dxa" w:w="1234"/>
            <w:tcMar>
              <w:top w:w="50" w:type="dxa"/>
              <w:bottom w:w="50" w:type="dxa"/>
              <w:left w:w="80" w:type="dxa"/>
              <w:right w:w="80" w:type="dxa"/>
            </w:tcMar>
          </w:tcPr>
          <w:p>
            <w:pPr>
              <w:spacing w:line="276" w:lineRule="auto" w:after="40"/>
              <w:jc w:val="right"/>
            </w:pPr>
            <w:r>
              <w:t>0.910</w:t>
            </w:r>
          </w:p>
        </w:tc>
        <w:tc>
          <w:tcPr>
            <w:tcW w:type="dxa" w:w="1234"/>
            <w:tcMar>
              <w:top w:w="50" w:type="dxa"/>
              <w:bottom w:w="50" w:type="dxa"/>
              <w:left w:w="80" w:type="dxa"/>
              <w:right w:w="80" w:type="dxa"/>
            </w:tcMar>
          </w:tcPr>
          <w:p>
            <w:pPr>
              <w:spacing w:line="276" w:lineRule="auto" w:after="40"/>
              <w:jc w:val="right"/>
            </w:pPr>
            <w:r>
              <w:t>0.930</w:t>
            </w:r>
          </w:p>
        </w:tc>
        <w:tc>
          <w:tcPr>
            <w:tcW w:type="dxa" w:w="1234"/>
            <w:tcMar>
              <w:top w:w="50" w:type="dxa"/>
              <w:bottom w:w="50" w:type="dxa"/>
              <w:left w:w="80" w:type="dxa"/>
              <w:right w:w="80" w:type="dxa"/>
            </w:tcMar>
          </w:tcPr>
          <w:p>
            <w:pPr>
              <w:spacing w:line="276" w:lineRule="auto" w:after="40"/>
              <w:jc w:val="right"/>
            </w:pPr>
            <w:r>
              <w:t>0.880</w:t>
            </w:r>
          </w:p>
        </w:tc>
        <w:tc>
          <w:tcPr>
            <w:tcW w:type="dxa" w:w="1234"/>
            <w:tcMar>
              <w:top w:w="50" w:type="dxa"/>
              <w:bottom w:w="50" w:type="dxa"/>
              <w:left w:w="80" w:type="dxa"/>
              <w:right w:w="80" w:type="dxa"/>
            </w:tcMar>
          </w:tcPr>
          <w:p>
            <w:pPr>
              <w:spacing w:line="276" w:lineRule="auto" w:after="40"/>
              <w:jc w:val="right"/>
            </w:pPr>
            <w:r>
              <w:t>0.950</w:t>
            </w:r>
          </w:p>
        </w:tc>
      </w:tr>
      <w:tr>
        <w:tc>
          <w:tcPr>
            <w:tcW w:type="dxa" w:w="1234"/>
            <w:tcMar>
              <w:top w:w="50" w:type="dxa"/>
              <w:bottom w:w="50" w:type="dxa"/>
              <w:left w:w="80" w:type="dxa"/>
              <w:right w:w="80" w:type="dxa"/>
            </w:tcMar>
          </w:tcPr>
          <w:p>
            <w:pPr>
              <w:spacing w:line="276" w:lineRule="auto" w:after="40"/>
            </w:pPr>
            <w:r>
              <w:t>Latency (ms)</w:t>
            </w:r>
          </w:p>
        </w:tc>
        <w:tc>
          <w:tcPr>
            <w:tcW w:type="dxa" w:w="1234"/>
            <w:tcMar>
              <w:top w:w="50" w:type="dxa"/>
              <w:bottom w:w="50" w:type="dxa"/>
              <w:left w:w="80" w:type="dxa"/>
              <w:right w:w="80" w:type="dxa"/>
            </w:tcMar>
          </w:tcPr>
          <w:p>
            <w:pPr>
              <w:spacing w:line="276" w:lineRule="auto" w:after="40"/>
              <w:jc w:val="right"/>
            </w:pPr>
            <w:r>
              <w:t>11.4 ms</w:t>
            </w:r>
          </w:p>
        </w:tc>
        <w:tc>
          <w:tcPr>
            <w:tcW w:type="dxa" w:w="1234"/>
            <w:tcMar>
              <w:top w:w="50" w:type="dxa"/>
              <w:bottom w:w="50" w:type="dxa"/>
              <w:left w:w="80" w:type="dxa"/>
              <w:right w:w="80" w:type="dxa"/>
            </w:tcMar>
          </w:tcPr>
          <w:p>
            <w:pPr>
              <w:spacing w:line="276" w:lineRule="auto" w:after="40"/>
              <w:jc w:val="right"/>
            </w:pPr>
            <w:r>
              <w:t>8.2 ms</w:t>
            </w:r>
          </w:p>
        </w:tc>
        <w:tc>
          <w:tcPr>
            <w:tcW w:type="dxa" w:w="1234"/>
            <w:tcMar>
              <w:top w:w="50" w:type="dxa"/>
              <w:bottom w:w="50" w:type="dxa"/>
              <w:left w:w="80" w:type="dxa"/>
              <w:right w:w="80" w:type="dxa"/>
            </w:tcMar>
          </w:tcPr>
          <w:p>
            <w:pPr>
              <w:spacing w:line="276" w:lineRule="auto" w:after="40"/>
              <w:jc w:val="right"/>
            </w:pPr>
            <w:r>
              <w:t>14.5 ms</w:t>
            </w:r>
          </w:p>
        </w:tc>
        <w:tc>
          <w:tcPr>
            <w:tcW w:type="dxa" w:w="1234"/>
            <w:tcMar>
              <w:top w:w="50" w:type="dxa"/>
              <w:bottom w:w="50" w:type="dxa"/>
              <w:left w:w="80" w:type="dxa"/>
              <w:right w:w="80" w:type="dxa"/>
            </w:tcMar>
          </w:tcPr>
          <w:p>
            <w:pPr>
              <w:spacing w:line="276" w:lineRule="auto" w:after="40"/>
              <w:jc w:val="right"/>
            </w:pPr>
            <w:r>
              <w:t>12.1 ms</w:t>
            </w:r>
          </w:p>
        </w:tc>
        <w:tc>
          <w:tcPr>
            <w:tcW w:type="dxa" w:w="1234"/>
            <w:tcMar>
              <w:top w:w="50" w:type="dxa"/>
              <w:bottom w:w="50" w:type="dxa"/>
              <w:left w:w="80" w:type="dxa"/>
              <w:right w:w="80" w:type="dxa"/>
            </w:tcMar>
          </w:tcPr>
          <w:p>
            <w:pPr>
              <w:spacing w:line="276" w:lineRule="auto" w:after="40"/>
              <w:jc w:val="right"/>
            </w:pPr>
            <w:r>
              <w:t>19.8 ms</w:t>
            </w:r>
          </w:p>
        </w:tc>
        <w:tc>
          <w:tcPr>
            <w:tcW w:type="dxa" w:w="1234"/>
            <w:tcMar>
              <w:top w:w="50" w:type="dxa"/>
              <w:bottom w:w="50" w:type="dxa"/>
              <w:left w:w="80" w:type="dxa"/>
              <w:right w:w="80" w:type="dxa"/>
            </w:tcMar>
          </w:tcPr>
          <w:p>
            <w:pPr>
              <w:spacing w:line="276" w:lineRule="auto" w:after="40"/>
              <w:jc w:val="right"/>
            </w:pPr>
            <w:r>
              <w:t>6.4 ms</w:t>
            </w:r>
          </w:p>
        </w:tc>
      </w:tr>
      <w:tr>
        <w:tc>
          <w:tcPr>
            <w:tcW w:type="dxa" w:w="1234"/>
            <w:tcMar>
              <w:top w:w="50" w:type="dxa"/>
              <w:bottom w:w="50" w:type="dxa"/>
              <w:left w:w="80" w:type="dxa"/>
              <w:right w:w="80" w:type="dxa"/>
            </w:tcMar>
          </w:tcPr>
          <w:p>
            <w:pPr>
              <w:spacing w:line="276" w:lineRule="auto" w:after="40"/>
            </w:pPr>
            <w:r>
              <w:t>False Positives</w:t>
            </w:r>
          </w:p>
        </w:tc>
        <w:tc>
          <w:tcPr>
            <w:tcW w:type="dxa" w:w="1234"/>
            <w:tcMar>
              <w:top w:w="50" w:type="dxa"/>
              <w:bottom w:w="50" w:type="dxa"/>
              <w:left w:w="80" w:type="dxa"/>
              <w:right w:w="80" w:type="dxa"/>
            </w:tcMar>
          </w:tcPr>
          <w:p>
            <w:pPr>
              <w:spacing w:line="276" w:lineRule="auto" w:after="40"/>
              <w:jc w:val="right"/>
            </w:pPr>
            <w:r>
              <w:t>2.3%</w:t>
            </w:r>
          </w:p>
        </w:tc>
        <w:tc>
          <w:tcPr>
            <w:tcW w:type="dxa" w:w="1234"/>
            <w:tcMar>
              <w:top w:w="50" w:type="dxa"/>
              <w:bottom w:w="50" w:type="dxa"/>
              <w:left w:w="80" w:type="dxa"/>
              <w:right w:w="80" w:type="dxa"/>
            </w:tcMar>
          </w:tcPr>
          <w:p>
            <w:pPr>
              <w:spacing w:line="276" w:lineRule="auto" w:after="40"/>
              <w:jc w:val="right"/>
            </w:pPr>
            <w:r>
              <w:t>1.2%</w:t>
            </w:r>
          </w:p>
        </w:tc>
        <w:tc>
          <w:tcPr>
            <w:tcW w:type="dxa" w:w="1234"/>
            <w:tcMar>
              <w:top w:w="50" w:type="dxa"/>
              <w:bottom w:w="50" w:type="dxa"/>
              <w:left w:w="80" w:type="dxa"/>
              <w:right w:w="80" w:type="dxa"/>
            </w:tcMar>
          </w:tcPr>
          <w:p>
            <w:pPr>
              <w:spacing w:line="276" w:lineRule="auto" w:after="40"/>
              <w:jc w:val="right"/>
            </w:pPr>
            <w:r>
              <w:t>2.8%</w:t>
            </w:r>
          </w:p>
        </w:tc>
        <w:tc>
          <w:tcPr>
            <w:tcW w:type="dxa" w:w="1234"/>
            <w:tcMar>
              <w:top w:w="50" w:type="dxa"/>
              <w:bottom w:w="50" w:type="dxa"/>
              <w:left w:w="80" w:type="dxa"/>
              <w:right w:w="80" w:type="dxa"/>
            </w:tcMar>
          </w:tcPr>
          <w:p>
            <w:pPr>
              <w:spacing w:line="276" w:lineRule="auto" w:after="40"/>
              <w:jc w:val="right"/>
            </w:pPr>
            <w:r>
              <w:t>2.1%</w:t>
            </w:r>
          </w:p>
        </w:tc>
        <w:tc>
          <w:tcPr>
            <w:tcW w:type="dxa" w:w="1234"/>
            <w:tcMar>
              <w:top w:w="50" w:type="dxa"/>
              <w:bottom w:w="50" w:type="dxa"/>
              <w:left w:w="80" w:type="dxa"/>
              <w:right w:w="80" w:type="dxa"/>
            </w:tcMar>
          </w:tcPr>
          <w:p>
            <w:pPr>
              <w:spacing w:line="276" w:lineRule="auto" w:after="40"/>
              <w:jc w:val="right"/>
            </w:pPr>
            <w:r>
              <w:t>4.2%</w:t>
            </w:r>
          </w:p>
        </w:tc>
        <w:tc>
          <w:tcPr>
            <w:tcW w:type="dxa" w:w="1234"/>
            <w:tcMar>
              <w:top w:w="50" w:type="dxa"/>
              <w:bottom w:w="50" w:type="dxa"/>
              <w:left w:w="80" w:type="dxa"/>
              <w:right w:w="80" w:type="dxa"/>
            </w:tcMar>
          </w:tcPr>
          <w:p>
            <w:pPr>
              <w:spacing w:line="276" w:lineRule="auto" w:after="40"/>
              <w:jc w:val="right"/>
            </w:pPr>
            <w:r>
              <w:t>1.1%</w:t>
            </w:r>
          </w:p>
        </w:tc>
      </w:tr>
    </w:tbl>
    <w:p>
      <w:pPr>
        <w:spacing w:line="360" w:lineRule="auto" w:after="120"/>
        <w:jc w:val="center"/>
      </w:pPr>
      <w:r>
        <w:rPr>
          <w:rFonts w:ascii="Times New Roman" w:hAnsi="Times New Roman"/>
          <w:i/>
          <w:sz w:val="24"/>
        </w:rPr>
        <w:br/>
        <w:t>Table 5.1: Average and Channel-Specific Evaluation Metrics for SecureFlowAI</w:t>
      </w:r>
    </w:p>
    <w:p>
      <w:pPr>
        <w:spacing w:line="360" w:lineRule="auto" w:after="120"/>
        <w:jc w:val="both"/>
      </w:pPr>
      <w:r>
        <w:rPr>
          <w:rFonts w:ascii="Times New Roman" w:hAnsi="Times New Roman"/>
          <w:i w:val="0"/>
          <w:sz w:val="24"/>
        </w:rPr>
        <w:t>The near-perfect Recall score of 99.4% on restricted financial records demonstrates that SecureFlowAI effectively neutralizes data leakage hazards, fulfilling strict PCI-DSS and GDPR requirements. Concurrently, the false positive alarm rate drops from 18.2% (observed in legacy regex baselines) down to 2.3%, eliminating employee friction during normal business hours. The average CPU inference latency of 11.4ms strictly satisfies the 25ms SLA constraint, proving that lightweight quantized models deliver enterprise security without dedicated GPU hardware.</w:t>
      </w:r>
    </w:p>
    <w:p>
      <w:r>
        <w:br w:type="page"/>
      </w:r>
    </w:p>
    <w:p>
      <w:pPr>
        <w:spacing w:before="360" w:after="240"/>
      </w:pPr>
      <w:r>
        <w:rPr>
          <w:rFonts w:ascii="Times New Roman" w:hAnsi="Times New Roman"/>
          <w:b/>
          <w:sz w:val="32"/>
        </w:rPr>
        <w:t>Chapter 6</w:t>
        <w:br/>
        <w:t>Conclusion and Future Scope</w:t>
      </w:r>
    </w:p>
    <w:p>
      <w:pPr>
        <w:spacing w:line="360" w:lineRule="auto" w:after="120"/>
        <w:jc w:val="both"/>
      </w:pPr>
      <w:r>
        <w:rPr>
          <w:rFonts w:ascii="Times New Roman" w:hAnsi="Times New Roman"/>
          <w:i w:val="0"/>
          <w:sz w:val="24"/>
        </w:rPr>
        <w:t>The project “SecureFlowAI: An Intelligent Data Leakage Prevention and Threat Mitigation System for Banking and Financial Workflows” demonstrates an effective, high-throughput solution for safeguarding confidential banking data. Traditional signature-based DLP systems are rigid, context-blind, and error-prone, but SecureFlowAI overcomes these challenges by uniting deterministic mathematical checksums with fine-tuned, quantized Transformer models and in-memory OCR. The platform intercepts data across browser forms, file uploads, and desktop clipboards, applying format-preserving reverse-offset masking, AES-256-GCM envelope encryption, and non-repudiable PostgreSQL audit logging in real time.</w:t>
      </w:r>
    </w:p>
    <w:p>
      <w:pPr>
        <w:spacing w:line="360" w:lineRule="auto" w:after="120"/>
        <w:jc w:val="both"/>
      </w:pPr>
      <w:r>
        <w:rPr>
          <w:rFonts w:ascii="Times New Roman" w:hAnsi="Times New Roman"/>
          <w:i w:val="0"/>
          <w:sz w:val="24"/>
        </w:rPr>
        <w:t>In summary, this project delivers a robust, privacy-preserving DLP system that operates entirely on-premise with zero cloud data egress, maintaining sub-15ms processing latency while driving false alarm rates down to 2.3%. Looking ahead, the system has significant potential for future expansion. Future work will explore: (1) Kernel-level endpoint monitoring drivers for Linux and macOS accessibility frameworks; (2) Graph neural network analysis to correlate distributed, slow-drip exfiltration attempts across multiple branch accounts; (3) Federated on-device model learning to update classifier parameters without centralizing sensitive training samples; and (4) Integration with hardware security modules (HSM) for automated cryptographic key derivation and rotation.</w:t>
      </w:r>
    </w:p>
    <w:p>
      <w:r>
        <w:br w:type="page"/>
      </w:r>
    </w:p>
    <w:p>
      <w:pPr>
        <w:spacing w:before="360" w:after="240"/>
      </w:pPr>
      <w:r>
        <w:rPr>
          <w:rFonts w:ascii="Times New Roman" w:hAnsi="Times New Roman"/>
          <w:b/>
          <w:sz w:val="32"/>
        </w:rPr>
        <w:t>Bibliography</w:t>
      </w:r>
    </w:p>
    <w:p>
      <w:pPr>
        <w:spacing w:line="276" w:lineRule="auto" w:after="120"/>
      </w:pPr>
      <w:r>
        <w:rPr>
          <w:sz w:val="22"/>
        </w:rPr>
        <w:t>[1] B. Hauer, “Data and Information Leakage Prevention Within the Scope of Information Security,” IEEE Access, vol. 3, pp. 2554–2565, 2015.</w:t>
      </w:r>
    </w:p>
    <w:p>
      <w:pPr>
        <w:spacing w:line="276" w:lineRule="auto" w:after="120"/>
      </w:pPr>
      <w:r>
        <w:rPr>
          <w:sz w:val="22"/>
        </w:rPr>
        <w:t>[2] K. Kaur, I. Gupta, and A. K. Singh, “A Comparative Evaluation of Data Leakage/Loss Prevention Systems (DLPS),” Computer Science &amp; Information Technology (CS &amp; IT-CSCP), vol. 7, pp. 77–88, 2017.</w:t>
      </w:r>
    </w:p>
    <w:p>
      <w:pPr>
        <w:spacing w:line="276" w:lineRule="auto" w:after="120"/>
      </w:pPr>
      <w:r>
        <w:rPr>
          <w:sz w:val="22"/>
        </w:rPr>
        <w:t>[3] M. Ghouse, M. J. Nene, and C. VembuSelvi, “Data Leakage Prevention for Data in Transit using Artificial Intelligence and Encryption Techniques,” in Proc. 4th International Conference on Advanced Computing &amp; Communication Systems (ICAC3), IEEE, 2019.</w:t>
      </w:r>
    </w:p>
    <w:p>
      <w:pPr>
        <w:spacing w:line="276" w:lineRule="auto" w:after="120"/>
      </w:pPr>
      <w:r>
        <w:rPr>
          <w:sz w:val="22"/>
        </w:rPr>
        <w:t>[4] N. Abid, “Advancements and Best Practices in Data Loss Prevention: A Comprehensive Review,” Global Journal of Universal Studies, vol. 4, no. 2, pp. 45–59, 2024.</w:t>
      </w:r>
    </w:p>
    <w:p>
      <w:pPr>
        <w:spacing w:line="276" w:lineRule="auto" w:after="120"/>
      </w:pPr>
      <w:r>
        <w:rPr>
          <w:sz w:val="22"/>
        </w:rPr>
        <w:t>[5] Payment Card Industry Security Standards Council, “Payment Card Industry Data Security Standard (PCI-DSS) Requirements and Testing Procedures v4.0,” PCI SSC, Tech. Rep., 2022.</w:t>
      </w:r>
    </w:p>
    <w:p>
      <w:pPr>
        <w:spacing w:line="276" w:lineRule="auto" w:after="120"/>
      </w:pPr>
      <w:r>
        <w:rPr>
          <w:sz w:val="22"/>
        </w:rPr>
        <w:t>[6] European Parliament and Council of the European Union, “Regulation (EU) 2016/679 (General Data Protection Regulation),” Official Journal of the European Union, 2016.</w:t>
      </w:r>
    </w:p>
    <w:p>
      <w:pPr>
        <w:spacing w:line="276" w:lineRule="auto" w:after="120"/>
      </w:pPr>
      <w:r>
        <w:rPr>
          <w:sz w:val="22"/>
        </w:rPr>
        <w:t>[7] N. Reimers and I. Gurevych, “Sentence-BERT: Sentence Embeddings using Siamese BERT-Networks,” in Proc. Conference on Empirical Methods in Natural Language Processing (EMNLP), 2019.</w:t>
      </w:r>
    </w:p>
    <w:p>
      <w:r>
        <w:br w:type="page"/>
      </w:r>
    </w:p>
    <w:p>
      <w:pPr>
        <w:spacing w:before="360" w:after="240"/>
      </w:pPr>
      <w:r>
        <w:rPr>
          <w:rFonts w:ascii="Times New Roman" w:hAnsi="Times New Roman"/>
          <w:b/>
          <w:sz w:val="32"/>
        </w:rPr>
        <w:t>Plagiarism Report</w:t>
      </w:r>
    </w:p>
    <w:p>
      <w:pPr>
        <w:spacing w:before="160" w:after="80"/>
        <w:jc w:val="center"/>
      </w:pPr>
      <w:r>
        <w:drawing>
          <wp:inline xmlns:a="http://schemas.openxmlformats.org/drawingml/2006/main" xmlns:pic="http://schemas.openxmlformats.org/drawingml/2006/picture">
            <wp:extent cx="5120640" cy="6400800"/>
            <wp:docPr id="12" name="Picture 12"/>
            <wp:cNvGraphicFramePr>
              <a:graphicFrameLocks noChangeAspect="1"/>
            </wp:cNvGraphicFramePr>
            <a:graphic>
              <a:graphicData uri="http://schemas.openxmlformats.org/drawingml/2006/picture">
                <pic:pic>
                  <pic:nvPicPr>
                    <pic:cNvPr id="0" name="fig_plagiarism.png"/>
                    <pic:cNvPicPr/>
                  </pic:nvPicPr>
                  <pic:blipFill>
                    <a:blip r:embed="rId20"/>
                    <a:stretch>
                      <a:fillRect/>
                    </a:stretch>
                  </pic:blipFill>
                  <pic:spPr>
                    <a:xfrm>
                      <a:off x="0" y="0"/>
                      <a:ext cx="5120640" cy="6400800"/>
                    </a:xfrm>
                    <a:prstGeom prst="rect"/>
                  </pic:spPr>
                </pic:pic>
              </a:graphicData>
            </a:graphic>
          </wp:inline>
        </w:drawing>
      </w:r>
    </w:p>
    <w:p>
      <w:pPr>
        <w:spacing w:after="240"/>
        <w:jc w:val="center"/>
      </w:pPr>
      <w:r>
        <w:rPr>
          <w:rFonts w:ascii="Times New Roman" w:hAnsi="Times New Roman"/>
          <w:b/>
          <w:sz w:val="21"/>
        </w:rPr>
        <w:t>Plagiarism Assessment Report (DrillBit Academic Screening)</w:t>
      </w:r>
    </w:p>
    <w:p>
      <w:r>
        <w:br w:type="page"/>
      </w:r>
    </w:p>
    <w:p>
      <w:pPr>
        <w:spacing w:before="360" w:after="240"/>
      </w:pPr>
      <w:r>
        <w:rPr>
          <w:rFonts w:ascii="Times New Roman" w:hAnsi="Times New Roman"/>
          <w:b/>
          <w:sz w:val="32"/>
        </w:rPr>
        <w:t>Publication Details / Project Achievements</w:t>
      </w:r>
    </w:p>
    <w:p>
      <w:pPr>
        <w:spacing w:before="360" w:line="360" w:lineRule="auto"/>
      </w:pPr>
    </w:p>
    <w:p>
      <w:pPr>
        <w:pStyle w:val="ListBullet"/>
        <w:spacing w:line="360" w:lineRule="auto" w:after="80"/>
        <w:jc w:val="both"/>
      </w:pPr>
      <w:r>
        <w:rPr>
          <w:rFonts w:ascii="Times New Roman" w:hAnsi="Times New Roman"/>
          <w:b/>
          <w:sz w:val="24"/>
        </w:rPr>
        <w:t xml:space="preserve">Conference: </w:t>
      </w:r>
      <w:r>
        <w:rPr>
          <w:rFonts w:ascii="Times New Roman" w:hAnsi="Times New Roman"/>
          <w:sz w:val="24"/>
        </w:rPr>
        <w:t>ICAIEHS-2025: MULTINOVA 1.0 : International Conference on Artificial Intelligence in Engineering, Healthcare and Sciences</w:t>
      </w:r>
    </w:p>
    <w:p>
      <w:pPr>
        <w:pStyle w:val="ListBullet"/>
        <w:spacing w:line="360" w:lineRule="auto" w:after="80"/>
        <w:jc w:val="both"/>
      </w:pPr>
      <w:r>
        <w:rPr>
          <w:rFonts w:ascii="Times New Roman" w:hAnsi="Times New Roman"/>
          <w:b/>
          <w:sz w:val="24"/>
        </w:rPr>
        <w:t xml:space="preserve">Track: </w:t>
      </w:r>
      <w:r>
        <w:rPr>
          <w:rFonts w:ascii="Times New Roman" w:hAnsi="Times New Roman"/>
          <w:sz w:val="24"/>
        </w:rPr>
        <w:t>AI in Computer Engineering &amp; Information Security</w:t>
      </w:r>
    </w:p>
    <w:p>
      <w:pPr>
        <w:pStyle w:val="ListBullet"/>
        <w:spacing w:line="360" w:lineRule="auto" w:after="80"/>
        <w:jc w:val="both"/>
      </w:pPr>
      <w:r>
        <w:rPr>
          <w:rFonts w:ascii="Times New Roman" w:hAnsi="Times New Roman"/>
          <w:b/>
          <w:sz w:val="24"/>
        </w:rPr>
        <w:t xml:space="preserve">Paper ID: </w:t>
      </w:r>
      <w:r>
        <w:rPr>
          <w:rFonts w:ascii="Times New Roman" w:hAnsi="Times New Roman"/>
          <w:sz w:val="24"/>
        </w:rPr>
        <w:t>170</w:t>
      </w:r>
    </w:p>
    <w:p>
      <w:pPr>
        <w:pStyle w:val="ListBullet"/>
        <w:spacing w:line="360" w:lineRule="auto" w:after="80"/>
        <w:jc w:val="both"/>
      </w:pPr>
      <w:r>
        <w:rPr>
          <w:rFonts w:ascii="Times New Roman" w:hAnsi="Times New Roman"/>
          <w:b/>
          <w:sz w:val="24"/>
        </w:rPr>
        <w:t xml:space="preserve">Title: </w:t>
      </w:r>
      <w:r>
        <w:rPr>
          <w:rFonts w:ascii="Times New Roman" w:hAnsi="Times New Roman"/>
          <w:sz w:val="24"/>
        </w:rPr>
        <w:t>SecureFlowAI: An Intelligent Data Leakage Prevention and Threat Mitigation System for Financial Workflows</w:t>
      </w:r>
    </w:p>
    <w:p>
      <w:pPr>
        <w:pStyle w:val="ListBullet"/>
        <w:spacing w:line="360" w:lineRule="auto" w:after="80"/>
        <w:jc w:val="both"/>
      </w:pPr>
      <w:r>
        <w:rPr>
          <w:rFonts w:ascii="Times New Roman" w:hAnsi="Times New Roman"/>
          <w:b/>
          <w:sz w:val="24"/>
        </w:rPr>
        <w:t xml:space="preserve">Status: </w:t>
      </w:r>
      <w:r>
        <w:rPr>
          <w:rFonts w:ascii="Times New Roman" w:hAnsi="Times New Roman"/>
          <w:sz w:val="24"/>
        </w:rPr>
        <w:t>Submitted for Peer Review / Accepted</w:t>
      </w:r>
    </w:p>
    <w:p>
      <w:pPr>
        <w:pStyle w:val="ListBullet"/>
        <w:spacing w:line="360" w:lineRule="auto" w:after="80"/>
        <w:jc w:val="both"/>
      </w:pPr>
      <w:r>
        <w:rPr>
          <w:rFonts w:ascii="Times New Roman" w:hAnsi="Times New Roman"/>
          <w:b/>
          <w:sz w:val="24"/>
        </w:rPr>
        <w:t xml:space="preserve">Authors: </w:t>
      </w:r>
      <w:r>
        <w:rPr>
          <w:rFonts w:ascii="Times New Roman" w:hAnsi="Times New Roman"/>
          <w:sz w:val="24"/>
        </w:rPr>
        <w:t>Dr. Aparna Bannore, Serin Kaushik, Dheeraj Shriyan, Devdatta Temgire, Vaibhav Kachare, Devesh Rajadhyax</w:t>
      </w:r>
    </w:p>
    <w:p>
      <w:r>
        <w:br w:type="page"/>
      </w:r>
    </w:p>
    <w:p>
      <w:pPr>
        <w:spacing w:before="360" w:after="240"/>
      </w:pPr>
      <w:r>
        <w:rPr>
          <w:rFonts w:ascii="Times New Roman" w:hAnsi="Times New Roman"/>
          <w:b/>
          <w:sz w:val="32"/>
        </w:rPr>
        <w:t>Certificates</w:t>
      </w:r>
    </w:p>
    <w:p>
      <w:pPr>
        <w:spacing w:before="160" w:after="80"/>
        <w:jc w:val="center"/>
      </w:pPr>
      <w:r>
        <w:drawing>
          <wp:inline xmlns:a="http://schemas.openxmlformats.org/drawingml/2006/main" xmlns:pic="http://schemas.openxmlformats.org/drawingml/2006/picture">
            <wp:extent cx="5486400" cy="4389120"/>
            <wp:docPr id="13" name="Picture 13"/>
            <wp:cNvGraphicFramePr>
              <a:graphicFrameLocks noChangeAspect="1"/>
            </wp:cNvGraphicFramePr>
            <a:graphic>
              <a:graphicData uri="http://schemas.openxmlformats.org/drawingml/2006/picture">
                <pic:pic>
                  <pic:nvPicPr>
                    <pic:cNvPr id="0" name="fig_certificates.png"/>
                    <pic:cNvPicPr/>
                  </pic:nvPicPr>
                  <pic:blipFill>
                    <a:blip r:embed="rId21"/>
                    <a:stretch>
                      <a:fillRect/>
                    </a:stretch>
                  </pic:blipFill>
                  <pic:spPr>
                    <a:xfrm>
                      <a:off x="0" y="0"/>
                      <a:ext cx="5486400" cy="4389120"/>
                    </a:xfrm>
                    <a:prstGeom prst="rect"/>
                  </pic:spPr>
                </pic:pic>
              </a:graphicData>
            </a:graphic>
          </wp:inline>
        </w:drawing>
      </w:r>
    </w:p>
    <w:p>
      <w:pPr>
        <w:spacing w:after="240"/>
        <w:jc w:val="center"/>
      </w:pPr>
      <w:r>
        <w:rPr>
          <w:rFonts w:ascii="Times New Roman" w:hAnsi="Times New Roman"/>
          <w:b/>
          <w:sz w:val="21"/>
        </w:rPr>
        <w:t>Project Presentation &amp; Competition Certificates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