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064E3B"/>
          <w:sz w:val="72"/>
          <w:szCs w:val="72"/>
        </w:rPr>
        <w:t xml:space="preserve">MENTOR</w:t>
      </w:r>
    </w:p>
    <w:p>
      <w:pPr>
        <w:pBdr>
          <w:bottom w:val="single" w:color="B45309" w:sz="12"/>
        </w:pBdr>
        <w:spacing w:after="80" w:before="0"/>
      </w:pPr>
      <w:r>
        <w:rPr>
          <w:rFonts w:ascii="Arial" w:cs="Arial" w:eastAsia="Arial" w:hAnsi="Arial"/>
          <w:i/>
          <w:iCs/>
          <w:color w:val="374151"/>
          <w:sz w:val="32"/>
          <w:szCs w:val="32"/>
        </w:rPr>
        <w:t xml:space="preserve">Competitive Landscape &amp; Strategic Positioning Brief</w:t>
      </w:r>
    </w:p>
    <w:p>
      <w:pPr>
        <w:spacing w:after="0" w:before="200"/>
      </w:pPr>
      <w:r>
        <w:t xml:space="preserve"/>
      </w:r>
    </w:p>
    <w:p>
      <w:pPr>
        <w:spacing w:after="120" w:before="80"/>
      </w:pPr>
      <w:r>
        <w:rPr>
          <w:rFonts w:ascii="Arial" w:cs="Arial" w:eastAsia="Arial" w:hAnsi="Arial"/>
          <w:i/>
          <w:iCs/>
          <w:color w:val="374151"/>
          <w:sz w:val="24"/>
          <w:szCs w:val="24"/>
        </w:rPr>
        <w:t xml:space="preserve">Who is building for overachievers — and why none of them are doing it right.</w:t>
      </w:r>
    </w:p>
    <w:p>
      <w:pPr>
        <w:spacing w:after="0" w:before="600"/>
      </w:pPr>
      <w:r>
        <w:t xml:space="preserve"/>
      </w:r>
    </w:p>
    <w:p>
      <w:pPr>
        <w:pStyle w:val="Heading1"/>
        <w:pBdr>
          <w:bottom w:val="single" w:color="064E3B" w:sz="12"/>
        </w:pBdr>
        <w:spacing w:after="120" w:before="360"/>
      </w:pPr>
      <w:r>
        <w:rPr>
          <w:rFonts w:ascii="Arial" w:cs="Arial" w:eastAsia="Arial" w:hAnsi="Arial"/>
          <w:b/>
          <w:bCs/>
          <w:color w:val="064E3B"/>
          <w:sz w:val="36"/>
          <w:szCs w:val="36"/>
        </w:rPr>
        <w:t xml:space="preserve">Executive Summary</w:t>
      </w:r>
    </w:p>
    <w:p>
      <w:pPr>
        <w:spacing w:after="100" w:before="60"/>
      </w:pPr>
      <w:r>
        <w:rPr>
          <w:rFonts w:ascii="Arial" w:cs="Arial" w:eastAsia="Arial" w:hAnsi="Arial"/>
          <w:color w:val="1A1A1A"/>
          <w:sz w:val="22"/>
          <w:szCs w:val="22"/>
        </w:rPr>
        <w:t xml:space="preserve">The professional community space is paradoxically wide open. LinkedIn has 1 billion users and almost zero trust. Reforge charges $2,000/year and turns away more people than it admits. Blind is anonymous and toxic. Levels.fyi is useful but cold. Every Indian platform has defaulted to a job board with a thin social layer.</w:t>
      </w:r>
    </w:p>
    <w:p>
      <w:pPr>
        <w:spacing w:after="0" w:before="40"/>
      </w:pPr>
      <w:r>
        <w:t xml:space="preserve"/>
      </w:r>
    </w:p>
    <w:p>
      <w:pPr>
        <w:spacing w:after="100" w:before="60"/>
      </w:pPr>
      <w:r>
        <w:rPr>
          <w:rFonts w:ascii="Arial" w:cs="Arial" w:eastAsia="Arial" w:hAnsi="Arial"/>
          <w:color w:val="1A1A1A"/>
          <w:sz w:val="22"/>
          <w:szCs w:val="22"/>
        </w:rPr>
        <w:t xml:space="preserve">The gap Mentor can own is specific: a verified, role-specific community for ambitious professionals in India who are sick of performative networking and want real peers, real opportunities, and real career acceleration. Not a LinkedIn clone. Not a course platform. Not a data aggregator. A community that makes you feel like you finally found your people — and where employers come directly to your group because the quality of the talent pool makes it worth their while.</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45309"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KEY INSIGHT</w:t>
            </w:r>
          </w:p>
        </w:tc>
        <w:tc>
          <w:tcPr>
            <w:tcW w:type="dxa" w:w="8560"/>
            <w:tcBorders>
              <w:top w:val="none" w:color="FFFFFF" w:sz="0"/>
              <w:left w:val="none" w:color="FFFFFF" w:sz="0"/>
              <w:bottom w:val="none" w:color="FFFFFF" w:sz="0"/>
              <w:right w:val="none" w:color="FFFFFF" w:sz="0"/>
            </w:tcBorders>
            <w:shd w:fill="FEF3C7" w:val="clear"/>
            <w:tcMar>
              <w:top w:type="dxa" w:w="120"/>
              <w:left w:type="dxa" w:w="200"/>
              <w:bottom w:type="dxa" w:w="120"/>
              <w:right w:type="dxa" w:w="160"/>
            </w:tcMar>
          </w:tcPr>
          <w:p>
            <w:r>
              <w:rPr>
                <w:rFonts w:ascii="Arial" w:cs="Arial" w:eastAsia="Arial" w:hAnsi="Arial"/>
                <w:color w:val="1A1A1A"/>
                <w:sz w:val="22"/>
                <w:szCs w:val="22"/>
              </w:rPr>
              <w:t xml:space="preserve">The scarcest resource for an overachiever is not information or opportunity — it is trust. Every competitor sacrifices trust for scale. Mentor wins by doing the opposite.</w:t>
            </w:r>
          </w:p>
        </w:tc>
      </w:tr>
    </w:tbl>
    <w:p>
      <w:pPr>
        <w:spacing w:after="0" w:before="120"/>
      </w:pPr>
      <w:r>
        <w:t xml:space="preserve"/>
      </w:r>
    </w:p>
    <w:p>
      <w:pPr>
        <w:pageBreakBefore/>
      </w:pPr>
      <w:r>
        <w:t xml:space="preserve"/>
      </w:r>
    </w:p>
    <w:p>
      <w:pPr>
        <w:pStyle w:val="Heading1"/>
        <w:pBdr>
          <w:bottom w:val="single" w:color="064E3B" w:sz="12"/>
        </w:pBdr>
        <w:spacing w:after="120" w:before="360"/>
      </w:pPr>
      <w:r>
        <w:rPr>
          <w:rFonts w:ascii="Arial" w:cs="Arial" w:eastAsia="Arial" w:hAnsi="Arial"/>
          <w:b/>
          <w:bCs/>
          <w:color w:val="064E3B"/>
          <w:sz w:val="36"/>
          <w:szCs w:val="36"/>
        </w:rPr>
        <w:t xml:space="preserve">1. Competitor Landscape</w:t>
      </w:r>
    </w:p>
    <w:p>
      <w:pPr>
        <w:spacing w:after="120" w:before="80"/>
      </w:pPr>
      <w:r>
        <w:rPr>
          <w:rFonts w:ascii="Arial" w:cs="Arial" w:eastAsia="Arial" w:hAnsi="Arial"/>
          <w:i/>
          <w:iCs/>
          <w:color w:val="374151"/>
          <w:sz w:val="24"/>
          <w:szCs w:val="24"/>
        </w:rPr>
        <w:t xml:space="preserve">A full map of who is operating in this space, what they are doing well, and where they break.</w:t>
      </w:r>
    </w:p>
    <w:p>
      <w:pPr>
        <w:spacing w:after="0" w:before="60"/>
      </w:pPr>
      <w:r>
        <w:t xml:space="preserve"/>
      </w:r>
    </w:p>
    <w:p>
      <w:pPr>
        <w:pStyle w:val="Heading2"/>
        <w:spacing w:after="100" w:before="280"/>
      </w:pPr>
      <w:r>
        <w:rPr>
          <w:rFonts w:ascii="Arial" w:cs="Arial" w:eastAsia="Arial" w:hAnsi="Arial"/>
          <w:b/>
          <w:bCs/>
          <w:color w:val="374151"/>
          <w:sz w:val="28"/>
          <w:szCs w:val="28"/>
        </w:rPr>
        <w:t xml:space="preserve">1.1 Global Platforms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80"/>
        <w:gridCol w:w="1680"/>
      </w:tblGrid>
      <w:tr>
        <w:trPr>
          <w:tblHeader/>
        </w:trPr>
        <w:tc>
          <w:tcPr>
            <w:tcW w:type="dxa" w:w="1600"/>
            <w:tcBorders>
              <w:top w:val="single" w:color="064E3B" w:sz="4"/>
              <w:left w:val="single" w:color="064E3B" w:sz="4"/>
              <w:bottom w:val="single" w:color="064E3B" w:sz="4"/>
              <w:right w:val="single" w:color="064E3B" w:sz="4"/>
            </w:tcBorders>
            <w:shd w:fill="064E3B"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2200"/>
            <w:tcBorders>
              <w:top w:val="single" w:color="064E3B" w:sz="4"/>
              <w:left w:val="single" w:color="064E3B" w:sz="4"/>
              <w:bottom w:val="single" w:color="064E3B" w:sz="4"/>
              <w:right w:val="single" w:color="064E3B" w:sz="4"/>
            </w:tcBorders>
            <w:shd w:fill="064E3B" w:val="clear"/>
            <w:tcMar>
              <w:top w:type="dxa" w:w="100"/>
              <w:left w:type="dxa" w:w="120"/>
              <w:bottom w:type="dxa" w:w="100"/>
              <w:right w:type="dxa" w:w="120"/>
            </w:tcMar>
          </w:tcPr>
          <w:p>
            <w:r>
              <w:rPr>
                <w:rFonts w:ascii="Arial" w:cs="Arial" w:eastAsia="Arial" w:hAnsi="Arial"/>
                <w:b/>
                <w:bCs/>
                <w:color w:val="FFFFFF"/>
                <w:sz w:val="20"/>
                <w:szCs w:val="20"/>
              </w:rPr>
              <w:t xml:space="preserve">What Works</w:t>
            </w:r>
          </w:p>
        </w:tc>
        <w:tc>
          <w:tcPr>
            <w:tcW w:type="dxa" w:w="2200"/>
            <w:tcBorders>
              <w:top w:val="single" w:color="064E3B" w:sz="4"/>
              <w:left w:val="single" w:color="064E3B" w:sz="4"/>
              <w:bottom w:val="single" w:color="064E3B" w:sz="4"/>
              <w:right w:val="single" w:color="064E3B" w:sz="4"/>
            </w:tcBorders>
            <w:shd w:fill="064E3B" w:val="clear"/>
            <w:tcMar>
              <w:top w:type="dxa" w:w="100"/>
              <w:left w:type="dxa" w:w="120"/>
              <w:bottom w:type="dxa" w:w="100"/>
              <w:right w:type="dxa" w:w="120"/>
            </w:tcMar>
          </w:tcPr>
          <w:p>
            <w:r>
              <w:rPr>
                <w:rFonts w:ascii="Arial" w:cs="Arial" w:eastAsia="Arial" w:hAnsi="Arial"/>
                <w:b/>
                <w:bCs/>
                <w:color w:val="FFFFFF"/>
                <w:sz w:val="20"/>
                <w:szCs w:val="20"/>
              </w:rPr>
              <w:t xml:space="preserve">What Fails</w:t>
            </w:r>
          </w:p>
        </w:tc>
        <w:tc>
          <w:tcPr>
            <w:tcW w:type="dxa" w:w="1680"/>
            <w:tcBorders>
              <w:top w:val="single" w:color="064E3B" w:sz="4"/>
              <w:left w:val="single" w:color="064E3B" w:sz="4"/>
              <w:bottom w:val="single" w:color="064E3B" w:sz="4"/>
              <w:right w:val="single" w:color="064E3B" w:sz="4"/>
            </w:tcBorders>
            <w:shd w:fill="064E3B" w:val="clear"/>
            <w:tcMar>
              <w:top w:type="dxa" w:w="100"/>
              <w:left w:type="dxa" w:w="120"/>
              <w:bottom w:type="dxa" w:w="100"/>
              <w:right w:type="dxa" w:w="120"/>
            </w:tcMar>
          </w:tcPr>
          <w:p>
            <w:r>
              <w:rPr>
                <w:rFonts w:ascii="Arial" w:cs="Arial" w:eastAsia="Arial" w:hAnsi="Arial"/>
                <w:b/>
                <w:bCs/>
                <w:color w:val="FFFFFF"/>
                <w:sz w:val="20"/>
                <w:szCs w:val="20"/>
              </w:rPr>
              <w:t xml:space="preserve">Threat Level</w:t>
            </w:r>
          </w:p>
        </w:tc>
        <w:tc>
          <w:tcPr>
            <w:tcW w:type="dxa" w:w="1680"/>
            <w:tcBorders>
              <w:top w:val="single" w:color="064E3B" w:sz="4"/>
              <w:left w:val="single" w:color="064E3B" w:sz="4"/>
              <w:bottom w:val="single" w:color="064E3B" w:sz="4"/>
              <w:right w:val="single" w:color="064E3B" w:sz="4"/>
            </w:tcBorders>
            <w:shd w:fill="064E3B" w:val="clear"/>
            <w:tcMar>
              <w:top w:type="dxa" w:w="100"/>
              <w:left w:type="dxa" w:w="120"/>
              <w:bottom w:type="dxa" w:w="100"/>
              <w:right w:type="dxa" w:w="120"/>
            </w:tcMar>
          </w:tcPr>
          <w:p>
            <w:r>
              <w:rPr>
                <w:rFonts w:ascii="Arial" w:cs="Arial" w:eastAsia="Arial" w:hAnsi="Arial"/>
                <w:b/>
                <w:bCs/>
                <w:color w:val="FFFFFF"/>
                <w:sz w:val="20"/>
                <w:szCs w:val="20"/>
              </w:rPr>
              <w:t xml:space="preserve">Mentor Angle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LinkedIn</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Scale (1B users), network effect, recruiter tooling, universal recognition</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Performative culture, algorithmic noise, 1/3 of profiles have fabricated credentials, humblebrags dominate, zero community feel</w:t>
            </w:r>
          </w:p>
        </w:tc>
        <w:tc>
          <w:tcPr>
            <w:tcW w:type="dxa" w:w="1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991B1B"/>
                <w:sz w:val="20"/>
                <w:szCs w:val="20"/>
              </w:rPr>
              <w:t xml:space="preserve">HIGH — distribution moat, not product moat</w:t>
            </w:r>
          </w:p>
        </w:tc>
        <w:tc>
          <w:tcPr>
            <w:tcW w:type="dxa" w:w="1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Trust over scale. Mentor is where people go after LinkedIn disappoints them.</w:t>
            </w:r>
          </w:p>
        </w:tc>
      </w:tr>
      <w:tr>
        <w:tc>
          <w:tcPr>
            <w:tcW w:type="dxa" w:w="16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Reforge</w:t>
            </w:r>
          </w:p>
        </w:tc>
        <w:tc>
          <w:tcPr>
            <w:tcW w:type="dxa" w:w="2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Extreme vetting, practitioner-led content, cohort community (200-400 senior ICs), NPS 70+, 80% completion rate, premium pricing validated</w:t>
            </w:r>
          </w:p>
        </w:tc>
        <w:tc>
          <w:tcPr>
            <w:tcW w:type="dxa" w:w="2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US-centric, $2,000/yr, only serves PMs/Growth/Engineers at senior level, no Indian market presence</w:t>
            </w:r>
          </w:p>
        </w:tc>
        <w:tc>
          <w:tcPr>
            <w:tcW w:type="dxa" w:w="168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374151"/>
                <w:sz w:val="20"/>
                <w:szCs w:val="20"/>
              </w:rPr>
              <w:t xml:space="preserve">LOW — model to copy, not compete with</w:t>
            </w:r>
          </w:p>
        </w:tc>
        <w:tc>
          <w:tcPr>
            <w:tcW w:type="dxa" w:w="168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Apply Reforge's gating philosophy to Indian professionals at accessible price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Pavilion</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60+ learning programs, local chapters (20 cities), role-specific GTM tracks, clear ROI for revenue leaders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Expensive ($1,000-5,000/yr), US GTM focus, not relevant to Indian roles yet</w:t>
            </w:r>
          </w:p>
        </w:tc>
        <w:tc>
          <w:tcPr>
            <w:tcW w:type="dxa" w:w="1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1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for role-specific tracks and local chapter expansion</w:t>
            </w:r>
          </w:p>
        </w:tc>
      </w:tr>
      <w:tr>
        <w:tc>
          <w:tcPr>
            <w:tcW w:type="dxa" w:w="16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On Deck</w:t>
            </w:r>
          </w:p>
        </w:tc>
        <w:tc>
          <w:tcPr>
            <w:tcW w:type="dxa" w:w="2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Founder/operator brand, 'safe space between moves', strong cohort bonds, high trust among alumni</w:t>
            </w:r>
          </w:p>
        </w:tc>
        <w:tc>
          <w:tcPr>
            <w:tcW w:type="dxa" w:w="2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Lost direction post-2022, expensive, too US-VC-centric, unclear value for non-founders</w:t>
            </w:r>
          </w:p>
        </w:tc>
        <w:tc>
          <w:tcPr>
            <w:tcW w:type="dxa" w:w="168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168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Emotional positioning ('safe space') worth borrowing for Mentor's language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Blind</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Anonymous = brutal honesty, very high engagement on comp/interview topics, addictive</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Toxic culture, demoralising, no accountability, dominated by paranoia and negativity, reputation damage</w:t>
            </w:r>
          </w:p>
        </w:tc>
        <w:tc>
          <w:tcPr>
            <w:tcW w:type="dxa" w:w="1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92400E"/>
                <w:sz w:val="20"/>
                <w:szCs w:val="20"/>
              </w:rPr>
              <w:t xml:space="preserve">MED — captures frustration but poisons it</w:t>
            </w:r>
          </w:p>
        </w:tc>
        <w:tc>
          <w:tcPr>
            <w:tcW w:type="dxa" w:w="1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Mentor is the antidote to Blind: real identity, real accountability, real community</w:t>
            </w:r>
          </w:p>
        </w:tc>
      </w:tr>
      <w:tr>
        <w:tc>
          <w:tcPr>
            <w:tcW w:type="dxa" w:w="16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Fishbowl</w:t>
            </w:r>
          </w:p>
        </w:tc>
        <w:tc>
          <w:tcPr>
            <w:tcW w:type="dxa" w:w="2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Role-based bowls, optional anonymity, less toxic than Blind, good for consulting/finance</w:t>
            </w:r>
          </w:p>
        </w:tc>
        <w:tc>
          <w:tcPr>
            <w:tcW w:type="dxa" w:w="2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Thin in India, US-centric, product feels dated, low stickiness outside specific conversations</w:t>
            </w:r>
          </w:p>
        </w:tc>
        <w:tc>
          <w:tcPr>
            <w:tcW w:type="dxa" w:w="168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168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Prove that identity-based beats anonymous for career growth</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Levels.fyi</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High-trust comp data, specific + verifiable numbers, indispensable for candidates, clean UX</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community, pure utility, no personalisation, no career guidance layer</w:t>
            </w:r>
          </w:p>
        </w:tc>
        <w:tc>
          <w:tcPr>
            <w:tcW w:type="dxa" w:w="1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92400E"/>
                <w:sz w:val="20"/>
                <w:szCs w:val="20"/>
              </w:rPr>
              <w:t xml:space="preserve">MED — trust benchmark to match on data</w:t>
            </w:r>
          </w:p>
        </w:tc>
        <w:tc>
          <w:tcPr>
            <w:tcW w:type="dxa" w:w="1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the community layer Levels.fyi deliberately avoided</w:t>
            </w:r>
          </w:p>
        </w:tc>
      </w:tr>
      <w:tr>
        <w:tc>
          <w:tcPr>
            <w:tcW w:type="dxa" w:w="16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Geneva</w:t>
            </w:r>
          </w:p>
        </w:tc>
        <w:tc>
          <w:tcPr>
            <w:tcW w:type="dxa" w:w="2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Rooms/homes architecture, Bumble-acquired, good for creator communities, mobile-first</w:t>
            </w:r>
          </w:p>
        </w:tc>
        <w:tc>
          <w:tcPr>
            <w:tcW w:type="dxa" w:w="2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No professional verification, consumer social feel, not career-focused, thin in India</w:t>
            </w:r>
          </w:p>
        </w:tc>
        <w:tc>
          <w:tcPr>
            <w:tcW w:type="dxa" w:w="168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168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UI architecture worth studying — channel metaphor maps well to Mentor groups</w:t>
            </w:r>
          </w:p>
        </w:tc>
      </w:tr>
    </w:tbl>
    <w:p>
      <w:pPr>
        <w:spacing w:after="0" w:before="120"/>
      </w:pPr>
      <w:r>
        <w:t xml:space="preserve"/>
      </w:r>
    </w:p>
    <w:p>
      <w:pPr>
        <w:pStyle w:val="Heading2"/>
        <w:spacing w:after="100" w:before="280"/>
      </w:pPr>
      <w:r>
        <w:rPr>
          <w:rFonts w:ascii="Arial" w:cs="Arial" w:eastAsia="Arial" w:hAnsi="Arial"/>
          <w:b/>
          <w:bCs/>
          <w:color w:val="374151"/>
          <w:sz w:val="28"/>
          <w:szCs w:val="28"/>
        </w:rPr>
        <w:t xml:space="preserve">1.2 Indian Platforms</w:t>
      </w:r>
    </w:p>
    <w:p>
      <w:pPr>
        <w:spacing w:after="0" w:before="40"/>
      </w:pPr>
      <w:r>
        <w:t xml:space="preserve"/>
      </w:r>
    </w:p>
    <w:p>
      <w:pPr>
        <w:spacing w:after="100" w:before="60"/>
      </w:pPr>
      <w:r>
        <w:rPr>
          <w:rFonts w:ascii="Arial" w:cs="Arial" w:eastAsia="Arial" w:hAnsi="Arial"/>
          <w:color w:val="1A1A1A"/>
          <w:sz w:val="22"/>
          <w:szCs w:val="22"/>
        </w:rPr>
        <w:t xml:space="preserve">The Indian market is dramatically underserved at the premium end. No platform has cracked verified professional community.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80"/>
        <w:gridCol w:w="1680"/>
      </w:tblGrid>
      <w:tr>
        <w:trPr>
          <w:tblHeader/>
        </w:trPr>
        <w:tc>
          <w:tcPr>
            <w:tcW w:type="dxa" w:w="1600"/>
            <w:tcBorders>
              <w:top w:val="single" w:color="064E3B" w:sz="4"/>
              <w:left w:val="single" w:color="064E3B" w:sz="4"/>
              <w:bottom w:val="single" w:color="064E3B" w:sz="4"/>
              <w:right w:val="single" w:color="064E3B" w:sz="4"/>
            </w:tcBorders>
            <w:shd w:fill="064E3B"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2200"/>
            <w:tcBorders>
              <w:top w:val="single" w:color="064E3B" w:sz="4"/>
              <w:left w:val="single" w:color="064E3B" w:sz="4"/>
              <w:bottom w:val="single" w:color="064E3B" w:sz="4"/>
              <w:right w:val="single" w:color="064E3B" w:sz="4"/>
            </w:tcBorders>
            <w:shd w:fill="064E3B" w:val="clear"/>
            <w:tcMar>
              <w:top w:type="dxa" w:w="100"/>
              <w:left w:type="dxa" w:w="120"/>
              <w:bottom w:type="dxa" w:w="100"/>
              <w:right w:type="dxa" w:w="120"/>
            </w:tcMar>
          </w:tcPr>
          <w:p>
            <w:r>
              <w:rPr>
                <w:rFonts w:ascii="Arial" w:cs="Arial" w:eastAsia="Arial" w:hAnsi="Arial"/>
                <w:b/>
                <w:bCs/>
                <w:color w:val="FFFFFF"/>
                <w:sz w:val="20"/>
                <w:szCs w:val="20"/>
              </w:rPr>
              <w:t xml:space="preserve">What Works</w:t>
            </w:r>
          </w:p>
        </w:tc>
        <w:tc>
          <w:tcPr>
            <w:tcW w:type="dxa" w:w="2200"/>
            <w:tcBorders>
              <w:top w:val="single" w:color="064E3B" w:sz="4"/>
              <w:left w:val="single" w:color="064E3B" w:sz="4"/>
              <w:bottom w:val="single" w:color="064E3B" w:sz="4"/>
              <w:right w:val="single" w:color="064E3B" w:sz="4"/>
            </w:tcBorders>
            <w:shd w:fill="064E3B" w:val="clear"/>
            <w:tcMar>
              <w:top w:type="dxa" w:w="100"/>
              <w:left w:type="dxa" w:w="120"/>
              <w:bottom w:type="dxa" w:w="100"/>
              <w:right w:type="dxa" w:w="120"/>
            </w:tcMar>
          </w:tcPr>
          <w:p>
            <w:r>
              <w:rPr>
                <w:rFonts w:ascii="Arial" w:cs="Arial" w:eastAsia="Arial" w:hAnsi="Arial"/>
                <w:b/>
                <w:bCs/>
                <w:color w:val="FFFFFF"/>
                <w:sz w:val="20"/>
                <w:szCs w:val="20"/>
              </w:rPr>
              <w:t xml:space="preserve">What Fails</w:t>
            </w:r>
          </w:p>
        </w:tc>
        <w:tc>
          <w:tcPr>
            <w:tcW w:type="dxa" w:w="1680"/>
            <w:tcBorders>
              <w:top w:val="single" w:color="064E3B" w:sz="4"/>
              <w:left w:val="single" w:color="064E3B" w:sz="4"/>
              <w:bottom w:val="single" w:color="064E3B" w:sz="4"/>
              <w:right w:val="single" w:color="064E3B" w:sz="4"/>
            </w:tcBorders>
            <w:shd w:fill="064E3B" w:val="clear"/>
            <w:tcMar>
              <w:top w:type="dxa" w:w="100"/>
              <w:left w:type="dxa" w:w="120"/>
              <w:bottom w:type="dxa" w:w="100"/>
              <w:right w:type="dxa" w:w="120"/>
            </w:tcMar>
          </w:tcPr>
          <w:p>
            <w:r>
              <w:rPr>
                <w:rFonts w:ascii="Arial" w:cs="Arial" w:eastAsia="Arial" w:hAnsi="Arial"/>
                <w:b/>
                <w:bCs/>
                <w:color w:val="FFFFFF"/>
                <w:sz w:val="20"/>
                <w:szCs w:val="20"/>
              </w:rPr>
              <w:t xml:space="preserve">Threat Level</w:t>
            </w:r>
          </w:p>
        </w:tc>
        <w:tc>
          <w:tcPr>
            <w:tcW w:type="dxa" w:w="1680"/>
            <w:tcBorders>
              <w:top w:val="single" w:color="064E3B" w:sz="4"/>
              <w:left w:val="single" w:color="064E3B" w:sz="4"/>
              <w:bottom w:val="single" w:color="064E3B" w:sz="4"/>
              <w:right w:val="single" w:color="064E3B" w:sz="4"/>
            </w:tcBorders>
            <w:shd w:fill="064E3B" w:val="clear"/>
            <w:tcMar>
              <w:top w:type="dxa" w:w="100"/>
              <w:left w:type="dxa" w:w="120"/>
              <w:bottom w:type="dxa" w:w="100"/>
              <w:right w:type="dxa" w:w="120"/>
            </w:tcMar>
          </w:tcPr>
          <w:p>
            <w:r>
              <w:rPr>
                <w:rFonts w:ascii="Arial" w:cs="Arial" w:eastAsia="Arial" w:hAnsi="Arial"/>
                <w:b/>
                <w:bCs/>
                <w:color w:val="FFFFFF"/>
                <w:sz w:val="20"/>
                <w:szCs w:val="20"/>
              </w:rPr>
              <w:t xml:space="preserve">Mentor Angle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Naukri / iimjobs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Distribution scale in India, iimjobs has premium MBA angle, AmbitionBox has real salary data</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Job board DNA — community is an afterthought, UI stuck in 2015, spammy recruiter culture, zero curation</w:t>
            </w:r>
          </w:p>
        </w:tc>
        <w:tc>
          <w:tcPr>
            <w:tcW w:type="dxa" w:w="1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991B1B"/>
                <w:sz w:val="20"/>
                <w:szCs w:val="20"/>
              </w:rPr>
              <w:t xml:space="preserve">HIGH — on distribution, LOW — on product quality</w:t>
            </w:r>
          </w:p>
        </w:tc>
        <w:tc>
          <w:tcPr>
            <w:tcW w:type="dxa" w:w="1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Mentor is what these should have built but didn't have the conviction to</w:t>
            </w:r>
          </w:p>
        </w:tc>
      </w:tr>
      <w:tr>
        <w:tc>
          <w:tcPr>
            <w:tcW w:type="dxa" w:w="16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Cutshort / Instahyre</w:t>
            </w:r>
          </w:p>
        </w:tc>
        <w:tc>
          <w:tcPr>
            <w:tcW w:type="dxa" w:w="2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Engineering role niche, skill-based matching, cleaner than Naukri</w:t>
            </w:r>
          </w:p>
        </w:tc>
        <w:tc>
          <w:tcPr>
            <w:tcW w:type="dxa" w:w="2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Engineering-only, no community, thin on senior roles, no content or learning layer</w:t>
            </w:r>
          </w:p>
        </w:tc>
        <w:tc>
          <w:tcPr>
            <w:tcW w:type="dxa" w:w="168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92400E"/>
                <w:sz w:val="20"/>
                <w:szCs w:val="20"/>
              </w:rPr>
              <w:t xml:space="preserve">MED</w:t>
            </w:r>
          </w:p>
        </w:tc>
        <w:tc>
          <w:tcPr>
            <w:tcW w:type="dxa" w:w="168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Show that non-engineering roles deserve the same quality experience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LinkedIn India</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LinkedIn, localised feed, India content growing fast</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LinkedIn problems amplified — even more performative in Indian professional culture</w:t>
            </w:r>
          </w:p>
        </w:tc>
        <w:tc>
          <w:tcPr>
            <w:tcW w:type="dxa" w:w="1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991B1B"/>
                <w:sz w:val="20"/>
                <w:szCs w:val="20"/>
              </w:rPr>
              <w:t xml:space="preserve">HIGH — mindshare only</w:t>
            </w:r>
          </w:p>
        </w:tc>
        <w:tc>
          <w:tcPr>
            <w:tcW w:type="dxa" w:w="1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Be the honest, unperformative alternative Indians actually want</w:t>
            </w:r>
          </w:p>
        </w:tc>
      </w:tr>
      <w:tr>
        <w:tc>
          <w:tcPr>
            <w:tcW w:type="dxa" w:w="16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Pesto / Turing</w:t>
            </w:r>
          </w:p>
        </w:tc>
        <w:tc>
          <w:tcPr>
            <w:tcW w:type="dxa" w:w="2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Remote US jobs for Indian engineers, income arbitrage positioning</w:t>
            </w:r>
          </w:p>
        </w:tc>
        <w:tc>
          <w:tcPr>
            <w:tcW w:type="dxa" w:w="2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Purely transactional, no community, not relevant to non-engineers</w:t>
            </w:r>
          </w:p>
        </w:tc>
        <w:tc>
          <w:tcPr>
            <w:tcW w:type="dxa" w:w="168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168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Not a community competitor</w:t>
            </w:r>
          </w:p>
        </w:tc>
      </w:tr>
    </w:tbl>
    <w:p>
      <w:pPr>
        <w:spacing w:after="0" w:before="120"/>
      </w:pPr>
      <w:r>
        <w:t xml:space="preserve"/>
      </w:r>
    </w:p>
    <w:p>
      <w:pPr>
        <w:pageBreakBefore/>
      </w:pPr>
      <w:r>
        <w:t xml:space="preserve"/>
      </w:r>
    </w:p>
    <w:p>
      <w:pPr>
        <w:pStyle w:val="Heading1"/>
        <w:pBdr>
          <w:bottom w:val="single" w:color="064E3B" w:sz="12"/>
        </w:pBdr>
        <w:spacing w:after="120" w:before="360"/>
      </w:pPr>
      <w:r>
        <w:rPr>
          <w:rFonts w:ascii="Arial" w:cs="Arial" w:eastAsia="Arial" w:hAnsi="Arial"/>
          <w:b/>
          <w:bCs/>
          <w:color w:val="064E3B"/>
          <w:sz w:val="36"/>
          <w:szCs w:val="36"/>
        </w:rPr>
        <w:t xml:space="preserve">2. What Works Across the Market — and What Doesn't</w:t>
      </w:r>
    </w:p>
    <w:p>
      <w:pPr>
        <w:spacing w:after="120" w:before="80"/>
      </w:pPr>
      <w:r>
        <w:rPr>
          <w:rFonts w:ascii="Arial" w:cs="Arial" w:eastAsia="Arial" w:hAnsi="Arial"/>
          <w:i/>
          <w:iCs/>
          <w:color w:val="374151"/>
          <w:sz w:val="24"/>
          <w:szCs w:val="24"/>
        </w:rPr>
        <w:t xml:space="preserve">Distilled patterns from platforms that are succeeding and those that are losing users.</w:t>
      </w:r>
    </w:p>
    <w:p>
      <w:pPr>
        <w:spacing w:after="0" w:before="60"/>
      </w:pPr>
      <w:r>
        <w:t xml:space="preserve"/>
      </w:r>
    </w:p>
    <w:p>
      <w:pPr>
        <w:pStyle w:val="Heading2"/>
        <w:spacing w:after="100" w:before="280"/>
      </w:pPr>
      <w:r>
        <w:rPr>
          <w:rFonts w:ascii="Arial" w:cs="Arial" w:eastAsia="Arial" w:hAnsi="Arial"/>
          <w:b/>
          <w:bCs/>
          <w:color w:val="374151"/>
          <w:sz w:val="28"/>
          <w:szCs w:val="28"/>
        </w:rPr>
        <w:t xml:space="preserve">2.1 What Actually Works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4"/>
              <w:left w:val="single" w:color="E5E7EB" w:sz="4"/>
              <w:bottom w:val="single" w:color="E5E7EB" w:sz="4"/>
              <w:right w:val="single" w:color="E5E7EB" w:sz="4"/>
            </w:tcBorders>
            <w:shd w:fill="064E3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PROVEN — WORKS</w:t>
            </w:r>
          </w:p>
        </w:tc>
        <w:tc>
          <w:tcPr>
            <w:tcW w:type="dxa" w:w="4680"/>
            <w:tcBorders>
              <w:top w:val="single" w:color="E5E7EB" w:sz="4"/>
              <w:left w:val="single" w:color="E5E7EB" w:sz="4"/>
              <w:bottom w:val="single" w:color="E5E7EB" w:sz="4"/>
              <w:right w:val="single" w:color="E5E7EB" w:sz="4"/>
            </w:tcBorders>
            <w:shd w:fill="991B1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BROKEN — CONSISTENTLY FAILS</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A1A1A"/>
                <w:sz w:val="21"/>
                <w:szCs w:val="21"/>
              </w:rPr>
              <w:t xml:space="preserve">Gating and verification. Reforge's NPS is above 70 because members know everyone around them is real. Trust scales with exclusivity.</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A1A1A"/>
                <w:sz w:val="21"/>
                <w:szCs w:val="21"/>
              </w:rPr>
              <w:t xml:space="preserve">Open platforms. LinkedIn, Facebook Groups, Slack workspaces — all become noisy the moment you remove friction.</w:t>
            </w:r>
          </w:p>
        </w:tc>
      </w:tr>
      <w:tr>
        <w:tc>
          <w:tcPr>
            <w:tcW w:type="dxa" w:w="4680"/>
            <w:tcBorders>
              <w:top w:val="single" w:color="E5E7EB" w:sz="4"/>
              <w:left w:val="single" w:color="E5E7EB" w:sz="4"/>
              <w:bottom w:val="single" w:color="E5E7EB" w:sz="4"/>
              <w:right w:val="single" w:color="E5E7EB" w:sz="4"/>
            </w:tcBorders>
            <w:shd w:fill="F0FDF4" w:val="clear"/>
            <w:tcMar>
              <w:top w:type="dxa" w:w="80"/>
              <w:left w:type="dxa" w:w="160"/>
              <w:bottom w:type="dxa" w:w="80"/>
              <w:right w:type="dxa" w:w="160"/>
            </w:tcMar>
          </w:tcPr>
          <w:p>
            <w:r>
              <w:rPr>
                <w:rFonts w:ascii="Arial" w:cs="Arial" w:eastAsia="Arial" w:hAnsi="Arial"/>
                <w:color w:val="1A1A1A"/>
                <w:sz w:val="21"/>
                <w:szCs w:val="21"/>
              </w:rPr>
              <w:t xml:space="preserve">Role specificity. Pavilion for GTM. Fishbowl for consulting. The narrower the community, the more relevant every post is.</w:t>
            </w:r>
          </w:p>
        </w:tc>
        <w:tc>
          <w:tcPr>
            <w:tcW w:type="dxa" w:w="4680"/>
            <w:tcBorders>
              <w:top w:val="single" w:color="E5E7EB" w:sz="4"/>
              <w:left w:val="single" w:color="E5E7EB" w:sz="4"/>
              <w:bottom w:val="single" w:color="E5E7EB" w:sz="4"/>
              <w:right w:val="single" w:color="E5E7EB" w:sz="4"/>
            </w:tcBorders>
            <w:shd w:fill="F0FDF4" w:val="clear"/>
            <w:tcMar>
              <w:top w:type="dxa" w:w="80"/>
              <w:left w:type="dxa" w:w="160"/>
              <w:bottom w:type="dxa" w:w="80"/>
              <w:right w:type="dxa" w:w="160"/>
            </w:tcMar>
          </w:tcPr>
          <w:p>
            <w:r>
              <w:rPr>
                <w:rFonts w:ascii="Arial" w:cs="Arial" w:eastAsia="Arial" w:hAnsi="Arial"/>
                <w:color w:val="1A1A1A"/>
                <w:sz w:val="21"/>
                <w:szCs w:val="21"/>
              </w:rPr>
              <w:t xml:space="preserve">Cross-role mixing. Professionals don't want advice from someone in a different function. Specificity = relevance = engagement.</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A1A1A"/>
                <w:sz w:val="21"/>
                <w:szCs w:val="21"/>
              </w:rPr>
              <w:t xml:space="preserve">Practitioner-led. The Reforge insight: active Spotify/Airbnb PMs teaching is more credible than any external educator.</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A1A1A"/>
                <w:sz w:val="21"/>
                <w:szCs w:val="21"/>
              </w:rPr>
              <w:t xml:space="preserve">Aspirational-only content. Case studies from companies you'll never join are useless. Context needs to match your world.</w:t>
            </w:r>
          </w:p>
        </w:tc>
      </w:tr>
      <w:tr>
        <w:tc>
          <w:tcPr>
            <w:tcW w:type="dxa" w:w="4680"/>
            <w:tcBorders>
              <w:top w:val="single" w:color="E5E7EB" w:sz="4"/>
              <w:left w:val="single" w:color="E5E7EB" w:sz="4"/>
              <w:bottom w:val="single" w:color="E5E7EB" w:sz="4"/>
              <w:right w:val="single" w:color="E5E7EB" w:sz="4"/>
            </w:tcBorders>
            <w:shd w:fill="F0FDF4" w:val="clear"/>
            <w:tcMar>
              <w:top w:type="dxa" w:w="80"/>
              <w:left w:type="dxa" w:w="160"/>
              <w:bottom w:type="dxa" w:w="80"/>
              <w:right w:type="dxa" w:w="160"/>
            </w:tcMar>
          </w:tcPr>
          <w:p>
            <w:r>
              <w:rPr>
                <w:rFonts w:ascii="Arial" w:cs="Arial" w:eastAsia="Arial" w:hAnsi="Arial"/>
                <w:color w:val="1A1A1A"/>
                <w:sz w:val="21"/>
                <w:szCs w:val="21"/>
              </w:rPr>
              <w:t xml:space="preserve">Verifiable data. Levels.fyi's trust comes from specificity — '$185k base at Google L5 in NYC'. Vague data is ignored.</w:t>
            </w:r>
          </w:p>
        </w:tc>
        <w:tc>
          <w:tcPr>
            <w:tcW w:type="dxa" w:w="4680"/>
            <w:tcBorders>
              <w:top w:val="single" w:color="E5E7EB" w:sz="4"/>
              <w:left w:val="single" w:color="E5E7EB" w:sz="4"/>
              <w:bottom w:val="single" w:color="E5E7EB" w:sz="4"/>
              <w:right w:val="single" w:color="E5E7EB" w:sz="4"/>
            </w:tcBorders>
            <w:shd w:fill="F0FDF4" w:val="clear"/>
            <w:tcMar>
              <w:top w:type="dxa" w:w="80"/>
              <w:left w:type="dxa" w:w="160"/>
              <w:bottom w:type="dxa" w:w="80"/>
              <w:right w:type="dxa" w:w="160"/>
            </w:tcMar>
          </w:tcPr>
          <w:p>
            <w:r>
              <w:rPr>
                <w:rFonts w:ascii="Arial" w:cs="Arial" w:eastAsia="Arial" w:hAnsi="Arial"/>
                <w:color w:val="1A1A1A"/>
                <w:sz w:val="21"/>
                <w:szCs w:val="21"/>
              </w:rPr>
              <w:t xml:space="preserve">Performative content. LinkedIn posts with 50,000 likes are almost always hollow. Users know it. Engagement is theatre.</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A1A1A"/>
                <w:sz w:val="21"/>
                <w:szCs w:val="21"/>
              </w:rPr>
              <w:t xml:space="preserve">Identity accountability. Real names, real profiles, real consequences for bad behaviour. Communities run better.</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A1A1A"/>
                <w:sz w:val="21"/>
                <w:szCs w:val="21"/>
              </w:rPr>
              <w:t xml:space="preserve">Anonymity at scale. Works for 4chan. Fails for career communities. Toxicity and misinformation dominate.</w:t>
            </w:r>
          </w:p>
        </w:tc>
      </w:tr>
      <w:tr>
        <w:tc>
          <w:tcPr>
            <w:tcW w:type="dxa" w:w="4680"/>
            <w:tcBorders>
              <w:top w:val="single" w:color="E5E7EB" w:sz="4"/>
              <w:left w:val="single" w:color="E5E7EB" w:sz="4"/>
              <w:bottom w:val="single" w:color="E5E7EB" w:sz="4"/>
              <w:right w:val="single" w:color="E5E7EB" w:sz="4"/>
            </w:tcBorders>
            <w:shd w:fill="F0FDF4" w:val="clear"/>
            <w:tcMar>
              <w:top w:type="dxa" w:w="80"/>
              <w:left w:type="dxa" w:w="160"/>
              <w:bottom w:type="dxa" w:w="80"/>
              <w:right w:type="dxa" w:w="160"/>
            </w:tcMar>
          </w:tcPr>
          <w:p>
            <w:r>
              <w:rPr>
                <w:rFonts w:ascii="Arial" w:cs="Arial" w:eastAsia="Arial" w:hAnsi="Arial"/>
                <w:color w:val="1A1A1A"/>
                <w:sz w:val="21"/>
                <w:szCs w:val="21"/>
              </w:rPr>
              <w:t xml:space="preserve">Local chapters / cohorts. Pavilion's 20 city chapters create IRL moments that make online bonds sticky.</w:t>
            </w:r>
          </w:p>
        </w:tc>
        <w:tc>
          <w:tcPr>
            <w:tcW w:type="dxa" w:w="4680"/>
            <w:tcBorders>
              <w:top w:val="single" w:color="E5E7EB" w:sz="4"/>
              <w:left w:val="single" w:color="E5E7EB" w:sz="4"/>
              <w:bottom w:val="single" w:color="E5E7EB" w:sz="4"/>
              <w:right w:val="single" w:color="E5E7EB" w:sz="4"/>
            </w:tcBorders>
            <w:shd w:fill="F0FDF4" w:val="clear"/>
            <w:tcMar>
              <w:top w:type="dxa" w:w="80"/>
              <w:left w:type="dxa" w:w="160"/>
              <w:bottom w:type="dxa" w:w="80"/>
              <w:right w:type="dxa" w:w="160"/>
            </w:tcMar>
          </w:tcPr>
          <w:p>
            <w:r>
              <w:rPr>
                <w:rFonts w:ascii="Arial" w:cs="Arial" w:eastAsia="Arial" w:hAnsi="Arial"/>
                <w:color w:val="1A1A1A"/>
                <w:sz w:val="21"/>
                <w:szCs w:val="21"/>
              </w:rPr>
              <w:t xml:space="preserve">Purely digital with no IRL anchor. Without physical moments, communities feel transactional.</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A1A1A"/>
                <w:sz w:val="21"/>
                <w:szCs w:val="21"/>
              </w:rPr>
              <w:t xml:space="preserve">Direct value signals. 'Got this job through Mentor'. 'This referral landed me an interview'. Outcomes &gt; engagement metrics.</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A1A1A"/>
                <w:sz w:val="21"/>
                <w:szCs w:val="21"/>
              </w:rPr>
              <w:t xml:space="preserve">Vanity metrics. Follower counts, likes, and reactions don't map to real career progress.</w:t>
            </w:r>
          </w:p>
        </w:tc>
      </w:tr>
    </w:tbl>
    <w:p>
      <w:pPr>
        <w:spacing w:after="0" w:before="120"/>
      </w:pPr>
      <w:r>
        <w:t xml:space="preserve"/>
      </w:r>
    </w:p>
    <w:p>
      <w:pPr>
        <w:pageBreakBefore/>
      </w:pPr>
      <w:r>
        <w:t xml:space="preserve"/>
      </w:r>
    </w:p>
    <w:p>
      <w:pPr>
        <w:pStyle w:val="Heading1"/>
        <w:pBdr>
          <w:bottom w:val="single" w:color="064E3B" w:sz="12"/>
        </w:pBdr>
        <w:spacing w:after="120" w:before="360"/>
      </w:pPr>
      <w:r>
        <w:rPr>
          <w:rFonts w:ascii="Arial" w:cs="Arial" w:eastAsia="Arial" w:hAnsi="Arial"/>
          <w:b/>
          <w:bCs/>
          <w:color w:val="064E3B"/>
          <w:sz w:val="36"/>
          <w:szCs w:val="36"/>
        </w:rPr>
        <w:t xml:space="preserve">3. What to Cut from Mentor Right Now</w:t>
      </w:r>
    </w:p>
    <w:p>
      <w:pPr>
        <w:spacing w:after="120" w:before="80"/>
      </w:pPr>
      <w:r>
        <w:rPr>
          <w:rFonts w:ascii="Arial" w:cs="Arial" w:eastAsia="Arial" w:hAnsi="Arial"/>
          <w:i/>
          <w:iCs/>
          <w:color w:val="374151"/>
          <w:sz w:val="24"/>
          <w:szCs w:val="24"/>
        </w:rPr>
        <w:t xml:space="preserve">Everything on this list dilutes the core proposition or adds complexity without value at this stage.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374151" w:sz="4"/>
              <w:left w:val="single" w:color="374151" w:sz="4"/>
              <w:bottom w:val="single" w:color="374151" w:sz="4"/>
              <w:right w:val="single" w:color="374151" w:sz="4"/>
            </w:tcBorders>
            <w:shd w:fill="374151" w:val="clear"/>
            <w:tcMar>
              <w:top w:type="dxa" w:w="100"/>
              <w:left w:type="dxa" w:w="120"/>
              <w:bottom w:type="dxa" w:w="100"/>
              <w:right w:type="dxa" w:w="120"/>
            </w:tcMar>
          </w:tcPr>
          <w:p>
            <w:r>
              <w:rPr>
                <w:rFonts w:ascii="Arial" w:cs="Arial" w:eastAsia="Arial" w:hAnsi="Arial"/>
                <w:b/>
                <w:bCs/>
                <w:color w:val="FFFFFF"/>
                <w:sz w:val="20"/>
                <w:szCs w:val="20"/>
              </w:rPr>
              <w:t xml:space="preserve">What to Cut / Change</w:t>
            </w:r>
          </w:p>
        </w:tc>
        <w:tc>
          <w:tcPr>
            <w:tcW w:type="dxa" w:w="2400"/>
            <w:tcBorders>
              <w:top w:val="single" w:color="374151" w:sz="4"/>
              <w:left w:val="single" w:color="374151" w:sz="4"/>
              <w:bottom w:val="single" w:color="374151" w:sz="4"/>
              <w:right w:val="single" w:color="374151" w:sz="4"/>
            </w:tcBorders>
            <w:shd w:fill="374151"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760"/>
            <w:tcBorders>
              <w:top w:val="single" w:color="374151" w:sz="4"/>
              <w:left w:val="single" w:color="374151" w:sz="4"/>
              <w:bottom w:val="single" w:color="374151" w:sz="4"/>
              <w:right w:val="single" w:color="374151" w:sz="4"/>
            </w:tcBorders>
            <w:shd w:fill="374151" w:val="clear"/>
            <w:tcMar>
              <w:top w:type="dxa" w:w="100"/>
              <w:left w:type="dxa" w:w="120"/>
              <w:bottom w:type="dxa" w:w="100"/>
              <w:right w:type="dxa" w:w="120"/>
            </w:tcMar>
          </w:tcPr>
          <w:p>
            <w:r>
              <w:rPr>
                <w:rFonts w:ascii="Arial" w:cs="Arial" w:eastAsia="Arial" w:hAnsi="Arial"/>
                <w:b/>
                <w:bCs/>
                <w:color w:val="FFFFFF"/>
                <w:sz w:val="20"/>
                <w:szCs w:val="20"/>
              </w:rPr>
              <w:t xml:space="preserve">Why</w:t>
            </w:r>
          </w:p>
        </w:tc>
      </w:tr>
      <w:tr>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public feed (open posts without group context)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991B1B"/>
                <w:sz w:val="20"/>
                <w:szCs w:val="20"/>
              </w:rPr>
              <w:t xml:space="preserve">CUT NOW</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LinkedIn did this. It creates performative behaviour within 90 days. Every post must live inside a verified group channel.</w:t>
            </w:r>
          </w:p>
        </w:tc>
      </w:tr>
      <w:tr>
        <w:tc>
          <w:tcPr>
            <w:tcW w:type="dxa" w:w="4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Generic 'Post Update' — all post types mixed together</w:t>
            </w:r>
          </w:p>
        </w:tc>
        <w:tc>
          <w:tcPr>
            <w:tcW w:type="dxa" w:w="24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991B1B"/>
                <w:sz w:val="20"/>
                <w:szCs w:val="20"/>
              </w:rPr>
              <w:t xml:space="preserve">CUT NOW</w:t>
            </w:r>
          </w:p>
        </w:tc>
        <w:tc>
          <w:tcPr>
            <w:tcW w:type="dxa" w:w="27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Users need to know what they are reading: a job, a resource, a discussion. Unlabelled posts kill signal. Structured post types only.</w:t>
            </w:r>
          </w:p>
        </w:tc>
      </w:tr>
      <w:tr>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Standalone Job Board tab (keep job boards inside groups)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065F46"/>
                <w:sz w:val="20"/>
                <w:szCs w:val="20"/>
              </w:rPr>
              <w:t xml:space="preserve">CHANGE</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Jobs are the primary proposition — but through groups, not as a separate tab competing with Naukri. A company posting to the Product group reaches 400 verified PMs. That is the product.</w:t>
            </w:r>
          </w:p>
        </w:tc>
      </w:tr>
      <w:tr>
        <w:tc>
          <w:tcPr>
            <w:tcW w:type="dxa" w:w="4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Platform-led referral mechanic</w:t>
            </w:r>
          </w:p>
        </w:tc>
        <w:tc>
          <w:tcPr>
            <w:tcW w:type="dxa" w:w="24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92400E"/>
                <w:sz w:val="20"/>
                <w:szCs w:val="20"/>
              </w:rPr>
              <w:t xml:space="preserve">REDUCE</w:t>
            </w:r>
          </w:p>
        </w:tc>
        <w:tc>
          <w:tcPr>
            <w:tcW w:type="dxa" w:w="27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Referrals are secondary and user-led. The platform does not broker referrals — it creates the conditions for them. If a Souled Store employee is in the group, a fellow member can reach out. Mentor does not surface or push this; it happens organically.</w:t>
            </w:r>
          </w:p>
        </w:tc>
      </w:tr>
      <w:tr>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 / friend-request mechanic</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991B1B"/>
                <w:sz w:val="20"/>
                <w:szCs w:val="20"/>
              </w:rPr>
              <w:t xml:space="preserve">CUT NOW</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This is LinkedIn behaviour and creates follower-count anxiety. Mentor does not have followers. You have group membership.</w:t>
            </w:r>
          </w:p>
        </w:tc>
      </w:tr>
      <w:tr>
        <w:tc>
          <w:tcPr>
            <w:tcW w:type="dxa" w:w="4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Notifications for likes and reactions</w:t>
            </w:r>
          </w:p>
        </w:tc>
        <w:tc>
          <w:tcPr>
            <w:tcW w:type="dxa" w:w="24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92400E"/>
                <w:sz w:val="20"/>
                <w:szCs w:val="20"/>
              </w:rPr>
              <w:t xml:space="preserve">REDUCE</w:t>
            </w:r>
          </w:p>
        </w:tc>
        <w:tc>
          <w:tcPr>
            <w:tcW w:type="dxa" w:w="27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Optimises for dopamine loops. Notify for: DMs, job matches, application status, new posts in job board channel. Nothing else.</w:t>
            </w:r>
          </w:p>
        </w:tc>
      </w:tr>
      <w:tr>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profile pages visible without auth</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991B1B"/>
                <w:sz w:val="20"/>
                <w:szCs w:val="20"/>
              </w:rPr>
              <w:t xml:space="preserve">CUT NOW</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gated experience IS the product. Letting anyone see profiles reduces the premium feel and kills the exclusivity angle.</w:t>
            </w:r>
          </w:p>
        </w:tc>
      </w:tr>
      <w:tr>
        <w:tc>
          <w:tcPr>
            <w:tcW w:type="dxa" w:w="4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'Experts' as a standalone section</w:t>
            </w:r>
          </w:p>
        </w:tc>
        <w:tc>
          <w:tcPr>
            <w:tcW w:type="dxa" w:w="24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065F46"/>
                <w:sz w:val="20"/>
                <w:szCs w:val="20"/>
              </w:rPr>
              <w:t xml:space="preserve">INTEGRATE</w:t>
            </w:r>
          </w:p>
        </w:tc>
        <w:tc>
          <w:tcPr>
            <w:tcW w:type="dxa" w:w="27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Do not remove experts — integrate them into groups as verified group leads or resident experts. An expert who is a member of the Product group and contributes to discussions is legitimate. An expert floating outside groups is a LinkedIn profile in a new coat of paint.</w:t>
            </w:r>
          </w:p>
        </w:tc>
      </w:tr>
      <w:tr>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Resume builder feature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991B1B"/>
                <w:sz w:val="20"/>
                <w:szCs w:val="20"/>
              </w:rPr>
              <w:t xml:space="preserve">CUT NOW</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differentiated. There are 50 better tools. Mentor's differentiation is the community and job access, not the tooling.</w:t>
            </w:r>
          </w:p>
        </w:tc>
      </w:tr>
      <w:tr>
        <w:tc>
          <w:tcPr>
            <w:tcW w:type="dxa" w:w="4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Mock interview as a standalone feature</w:t>
            </w:r>
          </w:p>
        </w:tc>
        <w:tc>
          <w:tcPr>
            <w:tcW w:type="dxa" w:w="24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92400E"/>
                <w:sz w:val="20"/>
                <w:szCs w:val="20"/>
              </w:rPr>
              <w:t xml:space="preserve">REDUCE</w:t>
            </w:r>
          </w:p>
        </w:tc>
        <w:tc>
          <w:tcPr>
            <w:tcW w:type="dxa" w:w="27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color w:val="1A1A1A"/>
                <w:sz w:val="20"/>
                <w:szCs w:val="20"/>
              </w:rPr>
              <w:t xml:space="preserve">Only keep if run by verified community members (peer mock interviews inside the group). Third-party integrations add nothing unique here.</w:t>
            </w:r>
          </w:p>
        </w:tc>
      </w:tr>
      <w:tr>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Salary tracker without verification layer</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92400E"/>
                <w:sz w:val="20"/>
                <w:szCs w:val="20"/>
              </w:rPr>
              <w:t xml:space="preserve">REDUCE</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Unverified salary data is noise. Either build a verification pipeline (like Levels.fyi) or remove it. Inaccurate data damages trust faster than no data.</w:t>
            </w:r>
          </w:p>
        </w:tc>
      </w:tr>
    </w:tbl>
    <w:p>
      <w:pPr>
        <w:spacing w:after="0" w:before="120"/>
      </w:pPr>
      <w:r>
        <w:t xml:space="preserve"/>
      </w:r>
    </w:p>
    <w:p>
      <w:pPr>
        <w:pageBreakBefore/>
      </w:pPr>
      <w:r>
        <w:t xml:space="preserve"/>
      </w:r>
    </w:p>
    <w:p>
      <w:pPr>
        <w:pStyle w:val="Heading1"/>
        <w:pBdr>
          <w:bottom w:val="single" w:color="064E3B" w:sz="12"/>
        </w:pBdr>
        <w:spacing w:after="120" w:before="360"/>
      </w:pPr>
      <w:r>
        <w:rPr>
          <w:rFonts w:ascii="Arial" w:cs="Arial" w:eastAsia="Arial" w:hAnsi="Arial"/>
          <w:b/>
          <w:bCs/>
          <w:color w:val="064E3B"/>
          <w:sz w:val="36"/>
          <w:szCs w:val="36"/>
        </w:rPr>
        <w:t xml:space="preserve">4. Sharpening the USP</w:t>
      </w:r>
    </w:p>
    <w:p>
      <w:pPr>
        <w:spacing w:after="120" w:before="80"/>
      </w:pPr>
      <w:r>
        <w:rPr>
          <w:rFonts w:ascii="Arial" w:cs="Arial" w:eastAsia="Arial" w:hAnsi="Arial"/>
          <w:i/>
          <w:iCs/>
          <w:color w:val="374151"/>
          <w:sz w:val="24"/>
          <w:szCs w:val="24"/>
        </w:rPr>
        <w:t xml:space="preserve">The platform's purpose must be expressible in a single sentence that makes an overachiever feel seen.</w:t>
      </w:r>
    </w:p>
    <w:p>
      <w:pPr>
        <w:spacing w:after="0" w:before="80"/>
      </w:pPr>
      <w:r>
        <w:t xml:space="preserve"/>
      </w:r>
    </w:p>
    <w:p>
      <w:pPr>
        <w:pStyle w:val="Heading2"/>
        <w:spacing w:after="100" w:before="280"/>
      </w:pPr>
      <w:r>
        <w:rPr>
          <w:rFonts w:ascii="Arial" w:cs="Arial" w:eastAsia="Arial" w:hAnsi="Arial"/>
          <w:b/>
          <w:bCs/>
          <w:color w:val="374151"/>
          <w:sz w:val="28"/>
          <w:szCs w:val="28"/>
        </w:rPr>
        <w:t xml:space="preserve">4.1 The Positioning Statement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4E3B" w:val="clear"/>
            <w:tcMar>
              <w:top w:type="dxa" w:w="360"/>
              <w:left w:type="dxa" w:w="480"/>
              <w:bottom w:type="dxa" w:w="360"/>
              <w:right w:type="dxa" w:w="480"/>
            </w:tcMar>
          </w:tcPr>
          <w:p>
            <w:pPr>
              <w:jc w:val="center"/>
            </w:pPr>
            <w:r>
              <w:rPr>
                <w:rFonts w:ascii="Arial" w:cs="Arial" w:eastAsia="Arial" w:hAnsi="Arial"/>
                <w:i/>
                <w:iCs/>
                <w:color w:val="FFFFFF"/>
                <w:sz w:val="28"/>
                <w:szCs w:val="28"/>
              </w:rPr>
              <w:t xml:space="preserve">Mentor is where Indian companies hire their best people —</w:t>
            </w:r>
          </w:p>
          <w:p>
            <w:pPr>
              <w:spacing w:before="80"/>
              <w:jc w:val="center"/>
            </w:pPr>
            <w:r>
              <w:rPr>
                <w:rFonts w:ascii="Arial" w:cs="Arial" w:eastAsia="Arial" w:hAnsi="Arial"/>
                <w:i/>
                <w:iCs/>
                <w:color w:val="FFFFFF"/>
                <w:sz w:val="28"/>
                <w:szCs w:val="28"/>
              </w:rPr>
              <w:t xml:space="preserve">by posting directly to verified, role-specific groups</w:t>
            </w:r>
          </w:p>
          <w:p>
            <w:pPr>
              <w:spacing w:before="80"/>
              <w:jc w:val="center"/>
            </w:pPr>
            <w:r>
              <w:rPr>
                <w:rFonts w:ascii="Arial" w:cs="Arial" w:eastAsia="Arial" w:hAnsi="Arial"/>
                <w:b/>
                <w:bCs/>
                <w:color w:val="FEF3C7"/>
                <w:sz w:val="28"/>
                <w:szCs w:val="28"/>
              </w:rPr>
              <w:t xml:space="preserve">instead of a pile of unscreened applications.</w:t>
            </w:r>
          </w:p>
        </w:tc>
      </w:tr>
    </w:tbl>
    <w:p>
      <w:pPr>
        <w:spacing w:after="0" w:before="100"/>
      </w:pPr>
      <w:r>
        <w:t xml:space="preserve"/>
      </w:r>
    </w:p>
    <w:p>
      <w:pPr>
        <w:pStyle w:val="Heading2"/>
        <w:spacing w:after="100" w:before="280"/>
      </w:pPr>
      <w:r>
        <w:rPr>
          <w:rFonts w:ascii="Arial" w:cs="Arial" w:eastAsia="Arial" w:hAnsi="Arial"/>
          <w:b/>
          <w:bCs/>
          <w:color w:val="374151"/>
          <w:sz w:val="28"/>
          <w:szCs w:val="28"/>
        </w:rPr>
        <w:t xml:space="preserve">4.2 The Three USP Pillars</w:t>
      </w:r>
    </w:p>
    <w:p>
      <w:pPr>
        <w:spacing w:after="0" w:before="40"/>
      </w:pPr>
      <w:r>
        <w:t xml:space="preserve"/>
      </w:r>
    </w:p>
    <w:p>
      <w:pPr>
        <w:spacing w:after="100" w:before="60"/>
      </w:pPr>
      <w:r>
        <w:rPr>
          <w:rFonts w:ascii="Arial" w:cs="Arial" w:eastAsia="Arial" w:hAnsi="Arial"/>
          <w:b/>
          <w:bCs/>
          <w:color w:val="064E3B"/>
          <w:sz w:val="22"/>
          <w:szCs w:val="22"/>
        </w:rPr>
        <w:t xml:space="preserve">Pillar 1 — VERIFIED PEERS</w:t>
      </w:r>
    </w:p>
    <w:p>
      <w:pPr>
        <w:spacing w:after="100" w:before="60"/>
      </w:pPr>
      <w:r>
        <w:rPr>
          <w:rFonts w:ascii="Arial" w:cs="Arial" w:eastAsia="Arial" w:hAnsi="Arial"/>
          <w:color w:val="1A1A1A"/>
          <w:sz w:val="22"/>
          <w:szCs w:val="22"/>
        </w:rPr>
        <w:t xml:space="preserve">Every member has been screened by AI and confirmed as a practitioner in their role. This is the single thing LinkedIn cannot do without destroying its growth model. It is the foundation of everything.</w:t>
      </w:r>
    </w:p>
    <w:p>
      <w:pPr>
        <w:spacing w:after="0" w:before="60"/>
      </w:pPr>
      <w:r>
        <w:t xml:space="preserve"/>
      </w:r>
    </w:p>
    <w:p>
      <w:pPr>
        <w:spacing w:after="100" w:before="60"/>
      </w:pPr>
      <w:r>
        <w:rPr>
          <w:rFonts w:ascii="Arial" w:cs="Arial" w:eastAsia="Arial" w:hAnsi="Arial"/>
          <w:b/>
          <w:bCs/>
          <w:color w:val="064E3B"/>
          <w:sz w:val="22"/>
          <w:szCs w:val="22"/>
        </w:rPr>
        <w:t xml:space="preserve">Pillar 2 — ROLE-SPECIFIC SIGNAL</w:t>
      </w:r>
    </w:p>
    <w:p>
      <w:pPr>
        <w:spacing w:after="100" w:before="60"/>
      </w:pPr>
      <w:r>
        <w:rPr>
          <w:rFonts w:ascii="Arial" w:cs="Arial" w:eastAsia="Arial" w:hAnsi="Arial"/>
          <w:color w:val="1A1A1A"/>
          <w:sz w:val="22"/>
          <w:szCs w:val="22"/>
        </w:rPr>
        <w:t xml:space="preserve">You only see content relevant to your function and seniority. A D2C marketing manager does not see posts meant for backend engineers. This sounds obvious but no platform at scale actually does it.</w:t>
      </w:r>
    </w:p>
    <w:p>
      <w:pPr>
        <w:spacing w:after="0" w:before="60"/>
      </w:pPr>
      <w:r>
        <w:t xml:space="preserve"/>
      </w:r>
    </w:p>
    <w:p>
      <w:pPr>
        <w:spacing w:after="100" w:before="60"/>
      </w:pPr>
      <w:r>
        <w:rPr>
          <w:rFonts w:ascii="Arial" w:cs="Arial" w:eastAsia="Arial" w:hAnsi="Arial"/>
          <w:b/>
          <w:bCs/>
          <w:color w:val="064E3B"/>
          <w:sz w:val="22"/>
          <w:szCs w:val="22"/>
        </w:rPr>
        <w:t xml:space="preserve">Pillar 3 — JOBS THROUGH VERIFIED GROUPS</w:t>
      </w:r>
    </w:p>
    <w:p>
      <w:pPr>
        <w:spacing w:after="100" w:before="60"/>
      </w:pPr>
      <w:r>
        <w:rPr>
          <w:rFonts w:ascii="Arial" w:cs="Arial" w:eastAsia="Arial" w:hAnsi="Arial"/>
          <w:color w:val="1A1A1A"/>
          <w:sz w:val="22"/>
          <w:szCs w:val="22"/>
        </w:rPr>
        <w:t xml:space="preserve">This is the core product and the monetisation model. A company like Souled Store does not post a job to a generic board — they post directly to the Product group and reach 400 verified PMs. Before they go to LinkedIn or Naukri, they come to Mentor because the talent pool is pre-screened and engaged. On top of this, if a Souled Store employee happens to be a group member, they may facilitate an introduction — but that is user-led and secondary. The platform's job is to surface verified talent to employers. That is what companies pay for.</w:t>
      </w:r>
    </w:p>
    <w:p>
      <w:pPr>
        <w:spacing w:after="0" w:before="80"/>
      </w:pPr>
      <w:r>
        <w:t xml:space="preserve"/>
      </w:r>
    </w:p>
    <w:p>
      <w:pPr>
        <w:pStyle w:val="Heading2"/>
        <w:spacing w:after="100" w:before="280"/>
      </w:pPr>
      <w:r>
        <w:rPr>
          <w:rFonts w:ascii="Arial" w:cs="Arial" w:eastAsia="Arial" w:hAnsi="Arial"/>
          <w:b/>
          <w:bCs/>
          <w:color w:val="374151"/>
          <w:sz w:val="28"/>
          <w:szCs w:val="28"/>
        </w:rPr>
        <w:t xml:space="preserve">4.3 Anti-Positioning (What Mentor Explicitly is Not)</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45309"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NOT</w:t>
            </w:r>
          </w:p>
        </w:tc>
        <w:tc>
          <w:tcPr>
            <w:tcW w:type="dxa" w:w="8560"/>
            <w:tcBorders>
              <w:top w:val="none" w:color="FFFFFF" w:sz="0"/>
              <w:left w:val="none" w:color="FFFFFF" w:sz="0"/>
              <w:bottom w:val="none" w:color="FFFFFF" w:sz="0"/>
              <w:right w:val="none" w:color="FFFFFF" w:sz="0"/>
            </w:tcBorders>
            <w:shd w:fill="FEF3C7" w:val="clear"/>
            <w:tcMar>
              <w:top w:type="dxa" w:w="120"/>
              <w:left w:type="dxa" w:w="200"/>
              <w:bottom w:type="dxa" w:w="120"/>
              <w:right w:type="dxa" w:w="160"/>
            </w:tcMar>
          </w:tcPr>
          <w:p>
            <w:r>
              <w:rPr>
                <w:rFonts w:ascii="Arial" w:cs="Arial" w:eastAsia="Arial" w:hAnsi="Arial"/>
                <w:color w:val="1A1A1A"/>
                <w:sz w:val="22"/>
                <w:szCs w:val="22"/>
              </w:rPr>
              <w:t xml:space="preserve">A place to broadcast thought leadership. Go to LinkedIn for that.</w:t>
            </w:r>
          </w:p>
        </w:tc>
      </w:tr>
    </w:tbl>
    <w:p>
      <w:pPr>
        <w:spacing w:after="0" w:before="3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45309"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NOT</w:t>
            </w:r>
          </w:p>
        </w:tc>
        <w:tc>
          <w:tcPr>
            <w:tcW w:type="dxa" w:w="8560"/>
            <w:tcBorders>
              <w:top w:val="none" w:color="FFFFFF" w:sz="0"/>
              <w:left w:val="none" w:color="FFFFFF" w:sz="0"/>
              <w:bottom w:val="none" w:color="FFFFFF" w:sz="0"/>
              <w:right w:val="none" w:color="FFFFFF" w:sz="0"/>
            </w:tcBorders>
            <w:shd w:fill="FEF3C7" w:val="clear"/>
            <w:tcMar>
              <w:top w:type="dxa" w:w="120"/>
              <w:left w:type="dxa" w:w="200"/>
              <w:bottom w:type="dxa" w:w="120"/>
              <w:right w:type="dxa" w:w="160"/>
            </w:tcMar>
          </w:tcPr>
          <w:p>
            <w:r>
              <w:rPr>
                <w:rFonts w:ascii="Arial" w:cs="Arial" w:eastAsia="Arial" w:hAnsi="Arial"/>
                <w:color w:val="1A1A1A"/>
                <w:sz w:val="22"/>
                <w:szCs w:val="22"/>
              </w:rPr>
              <w:t xml:space="preserve">A generic job board. Jobs are group-specific and employer-targeted — not a Naukri clone.</w:t>
            </w:r>
          </w:p>
        </w:tc>
      </w:tr>
    </w:tbl>
    <w:p>
      <w:pPr>
        <w:spacing w:after="0" w:before="3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45309"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NOT</w:t>
            </w:r>
          </w:p>
        </w:tc>
        <w:tc>
          <w:tcPr>
            <w:tcW w:type="dxa" w:w="8560"/>
            <w:tcBorders>
              <w:top w:val="none" w:color="FFFFFF" w:sz="0"/>
              <w:left w:val="none" w:color="FFFFFF" w:sz="0"/>
              <w:bottom w:val="none" w:color="FFFFFF" w:sz="0"/>
              <w:right w:val="none" w:color="FFFFFF" w:sz="0"/>
            </w:tcBorders>
            <w:shd w:fill="FEF3C7" w:val="clear"/>
            <w:tcMar>
              <w:top w:type="dxa" w:w="120"/>
              <w:left w:type="dxa" w:w="200"/>
              <w:bottom w:type="dxa" w:w="120"/>
              <w:right w:type="dxa" w:w="160"/>
            </w:tcMar>
          </w:tcPr>
          <w:p>
            <w:r>
              <w:rPr>
                <w:rFonts w:ascii="Arial" w:cs="Arial" w:eastAsia="Arial" w:hAnsi="Arial"/>
                <w:color w:val="1A1A1A"/>
                <w:sz w:val="22"/>
                <w:szCs w:val="22"/>
              </w:rPr>
              <w:t xml:space="preserve">A referral platform. Referrals happen between members organically. Mentor does not broker them.</w:t>
            </w:r>
          </w:p>
        </w:tc>
      </w:tr>
    </w:tbl>
    <w:p>
      <w:pPr>
        <w:spacing w:after="0" w:before="3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45309"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NOT</w:t>
            </w:r>
          </w:p>
        </w:tc>
        <w:tc>
          <w:tcPr>
            <w:tcW w:type="dxa" w:w="8560"/>
            <w:tcBorders>
              <w:top w:val="none" w:color="FFFFFF" w:sz="0"/>
              <w:left w:val="none" w:color="FFFFFF" w:sz="0"/>
              <w:bottom w:val="none" w:color="FFFFFF" w:sz="0"/>
              <w:right w:val="none" w:color="FFFFFF" w:sz="0"/>
            </w:tcBorders>
            <w:shd w:fill="FEF3C7" w:val="clear"/>
            <w:tcMar>
              <w:top w:type="dxa" w:w="120"/>
              <w:left w:type="dxa" w:w="200"/>
              <w:bottom w:type="dxa" w:w="120"/>
              <w:right w:type="dxa" w:w="160"/>
            </w:tcMar>
          </w:tcPr>
          <w:p>
            <w:r>
              <w:rPr>
                <w:rFonts w:ascii="Arial" w:cs="Arial" w:eastAsia="Arial" w:hAnsi="Arial"/>
                <w:color w:val="1A1A1A"/>
                <w:sz w:val="22"/>
                <w:szCs w:val="22"/>
              </w:rPr>
              <w:t xml:space="preserve">A course platform. The community is the curriculum. Experts live inside groups, not above them.</w:t>
            </w:r>
          </w:p>
        </w:tc>
      </w:tr>
    </w:tbl>
    <w:p>
      <w:pPr>
        <w:spacing w:after="0" w:before="3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45309"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NOT</w:t>
            </w:r>
          </w:p>
        </w:tc>
        <w:tc>
          <w:tcPr>
            <w:tcW w:type="dxa" w:w="8560"/>
            <w:tcBorders>
              <w:top w:val="none" w:color="FFFFFF" w:sz="0"/>
              <w:left w:val="none" w:color="FFFFFF" w:sz="0"/>
              <w:bottom w:val="none" w:color="FFFFFF" w:sz="0"/>
              <w:right w:val="none" w:color="FFFFFF" w:sz="0"/>
            </w:tcBorders>
            <w:shd w:fill="FEF3C7" w:val="clear"/>
            <w:tcMar>
              <w:top w:type="dxa" w:w="120"/>
              <w:left w:type="dxa" w:w="200"/>
              <w:bottom w:type="dxa" w:w="120"/>
              <w:right w:type="dxa" w:w="160"/>
            </w:tcMar>
          </w:tcPr>
          <w:p>
            <w:r>
              <w:rPr>
                <w:rFonts w:ascii="Arial" w:cs="Arial" w:eastAsia="Arial" w:hAnsi="Arial"/>
                <w:color w:val="1A1A1A"/>
                <w:sz w:val="22"/>
                <w:szCs w:val="22"/>
              </w:rPr>
              <w:t xml:space="preserve">Anonymous or pseudonymous. Accountability is a feature, not a bug.</w:t>
            </w:r>
          </w:p>
        </w:tc>
      </w:tr>
    </w:tbl>
    <w:p>
      <w:pPr>
        <w:spacing w:after="0" w:before="120"/>
      </w:pPr>
      <w:r>
        <w:t xml:space="preserve"/>
      </w:r>
    </w:p>
    <w:p>
      <w:pPr>
        <w:pageBreakBefore/>
      </w:pPr>
      <w:r>
        <w:t xml:space="preserve"/>
      </w:r>
    </w:p>
    <w:p>
      <w:pPr>
        <w:pStyle w:val="Heading1"/>
        <w:pBdr>
          <w:bottom w:val="single" w:color="064E3B" w:sz="12"/>
        </w:pBdr>
        <w:spacing w:after="120" w:before="360"/>
      </w:pPr>
      <w:r>
        <w:rPr>
          <w:rFonts w:ascii="Arial" w:cs="Arial" w:eastAsia="Arial" w:hAnsi="Arial"/>
          <w:b/>
          <w:bCs/>
          <w:color w:val="064E3B"/>
          <w:sz w:val="36"/>
          <w:szCs w:val="36"/>
        </w:rPr>
        <w:t xml:space="preserve">5. Colour Palette and UI Direction</w:t>
      </w:r>
    </w:p>
    <w:p>
      <w:pPr>
        <w:spacing w:after="120" w:before="80"/>
      </w:pPr>
      <w:r>
        <w:rPr>
          <w:rFonts w:ascii="Arial" w:cs="Arial" w:eastAsia="Arial" w:hAnsi="Arial"/>
          <w:i/>
          <w:iCs/>
          <w:color w:val="374151"/>
          <w:sz w:val="24"/>
          <w:szCs w:val="24"/>
        </w:rPr>
        <w:t xml:space="preserve">Premium is earned through restraint. The benchmark is Spotify's dark minimal, not Silicon Valley pastel.</w:t>
      </w:r>
    </w:p>
    <w:p>
      <w:pPr>
        <w:spacing w:after="0" w:before="60"/>
      </w:pPr>
      <w:r>
        <w:t xml:space="preserve"/>
      </w:r>
    </w:p>
    <w:p>
      <w:pPr>
        <w:pStyle w:val="Heading2"/>
        <w:spacing w:after="100" w:before="280"/>
      </w:pPr>
      <w:r>
        <w:rPr>
          <w:rFonts w:ascii="Arial" w:cs="Arial" w:eastAsia="Arial" w:hAnsi="Arial"/>
          <w:b/>
          <w:bCs/>
          <w:color w:val="374151"/>
          <w:sz w:val="28"/>
          <w:szCs w:val="28"/>
        </w:rPr>
        <w:t xml:space="preserve">5.1 Recommended Colour Palette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064E3B" w:val="clear"/>
            <w:tcMar>
              <w:top w:type="dxa" w:w="240"/>
              <w:left w:type="dxa" w:w="80"/>
              <w:bottom w:type="dxa" w:w="240"/>
              <w:right w:type="dxa" w:w="80"/>
            </w:tcMar>
            <w:vAlign w:val="center"/>
          </w:tcPr>
          <w:p>
            <w:pPr>
              <w:jc w:val="center"/>
            </w:pPr>
            <w:r>
              <w:rPr>
                <w:rFonts w:ascii="Courier New" w:cs="Courier New" w:eastAsia="Courier New" w:hAnsi="Courier New"/>
                <w:b/>
                <w:bCs/>
                <w:color w:val="FFFFFF"/>
                <w:sz w:val="18"/>
                <w:szCs w:val="18"/>
              </w:rPr>
              <w:t xml:space="preserve">#064E3B</w:t>
            </w:r>
          </w:p>
          <w:p>
            <w:pPr>
              <w:spacing w:before="40"/>
              <w:jc w:val="center"/>
            </w:pPr>
            <w:r>
              <w:rPr>
                <w:rFonts w:ascii="Arial" w:cs="Arial" w:eastAsia="Arial" w:hAnsi="Arial"/>
                <w:b/>
                <w:bCs/>
                <w:color w:val="FFFFFF"/>
                <w:sz w:val="18"/>
                <w:szCs w:val="18"/>
              </w:rPr>
              <w:t xml:space="preserve">Forest</w:t>
            </w:r>
          </w:p>
          <w:p>
            <w:pPr>
              <w:jc w:val="center"/>
            </w:pPr>
            <w:r>
              <w:rPr>
                <w:rFonts w:ascii="Arial" w:cs="Arial" w:eastAsia="Arial" w:hAnsi="Arial"/>
                <w:color w:val="D1FAE5"/>
                <w:sz w:val="16"/>
                <w:szCs w:val="16"/>
              </w:rPr>
              <w:t xml:space="preserve">Primary brand</w:t>
            </w:r>
          </w:p>
        </w:tc>
        <w:tc>
          <w:tcPr>
            <w:tcW w:type="dxa" w:w="1560"/>
            <w:tcBorders>
              <w:top w:val="none" w:color="FFFFFF" w:sz="0"/>
              <w:left w:val="none" w:color="FFFFFF" w:sz="0"/>
              <w:bottom w:val="none" w:color="FFFFFF" w:sz="0"/>
              <w:right w:val="none" w:color="FFFFFF" w:sz="0"/>
            </w:tcBorders>
            <w:shd w:fill="065F46" w:val="clear"/>
            <w:tcMar>
              <w:top w:type="dxa" w:w="240"/>
              <w:left w:type="dxa" w:w="80"/>
              <w:bottom w:type="dxa" w:w="240"/>
              <w:right w:type="dxa" w:w="80"/>
            </w:tcMar>
            <w:vAlign w:val="center"/>
          </w:tcPr>
          <w:p>
            <w:pPr>
              <w:jc w:val="center"/>
            </w:pPr>
            <w:r>
              <w:rPr>
                <w:rFonts w:ascii="Courier New" w:cs="Courier New" w:eastAsia="Courier New" w:hAnsi="Courier New"/>
                <w:b/>
                <w:bCs/>
                <w:color w:val="FFFFFF"/>
                <w:sz w:val="18"/>
                <w:szCs w:val="18"/>
              </w:rPr>
              <w:t xml:space="preserve">#065F46</w:t>
            </w:r>
          </w:p>
          <w:p>
            <w:pPr>
              <w:spacing w:before="40"/>
              <w:jc w:val="center"/>
            </w:pPr>
            <w:r>
              <w:rPr>
                <w:rFonts w:ascii="Arial" w:cs="Arial" w:eastAsia="Arial" w:hAnsi="Arial"/>
                <w:b/>
                <w:bCs/>
                <w:color w:val="FFFFFF"/>
                <w:sz w:val="18"/>
                <w:szCs w:val="18"/>
              </w:rPr>
              <w:t xml:space="preserve">Emerald</w:t>
            </w:r>
          </w:p>
          <w:p>
            <w:pPr>
              <w:jc w:val="center"/>
            </w:pPr>
            <w:r>
              <w:rPr>
                <w:rFonts w:ascii="Arial" w:cs="Arial" w:eastAsia="Arial" w:hAnsi="Arial"/>
                <w:color w:val="D1FAE5"/>
                <w:sz w:val="16"/>
                <w:szCs w:val="16"/>
              </w:rPr>
              <w:t xml:space="preserve">Hover/active</w:t>
            </w:r>
          </w:p>
        </w:tc>
        <w:tc>
          <w:tcPr>
            <w:tcW w:type="dxa" w:w="1560"/>
            <w:tcBorders>
              <w:top w:val="none" w:color="FFFFFF" w:sz="0"/>
              <w:left w:val="none" w:color="FFFFFF" w:sz="0"/>
              <w:bottom w:val="none" w:color="FFFFFF" w:sz="0"/>
              <w:right w:val="none" w:color="FFFFFF" w:sz="0"/>
            </w:tcBorders>
            <w:shd w:fill="1A1A1A" w:val="clear"/>
            <w:tcMar>
              <w:top w:type="dxa" w:w="240"/>
              <w:left w:type="dxa" w:w="80"/>
              <w:bottom w:type="dxa" w:w="240"/>
              <w:right w:type="dxa" w:w="80"/>
            </w:tcMar>
            <w:vAlign w:val="center"/>
          </w:tcPr>
          <w:p>
            <w:pPr>
              <w:jc w:val="center"/>
            </w:pPr>
            <w:r>
              <w:rPr>
                <w:rFonts w:ascii="Courier New" w:cs="Courier New" w:eastAsia="Courier New" w:hAnsi="Courier New"/>
                <w:b/>
                <w:bCs/>
                <w:color w:val="FFFFFF"/>
                <w:sz w:val="18"/>
                <w:szCs w:val="18"/>
              </w:rPr>
              <w:t xml:space="preserve">#1A1A1A</w:t>
            </w:r>
          </w:p>
          <w:p>
            <w:pPr>
              <w:spacing w:before="40"/>
              <w:jc w:val="center"/>
            </w:pPr>
            <w:r>
              <w:rPr>
                <w:rFonts w:ascii="Arial" w:cs="Arial" w:eastAsia="Arial" w:hAnsi="Arial"/>
                <w:b/>
                <w:bCs/>
                <w:color w:val="FFFFFF"/>
                <w:sz w:val="18"/>
                <w:szCs w:val="18"/>
              </w:rPr>
              <w:t xml:space="preserve">Charcoal</w:t>
            </w:r>
          </w:p>
          <w:p>
            <w:pPr>
              <w:jc w:val="center"/>
            </w:pPr>
            <w:r>
              <w:rPr>
                <w:rFonts w:ascii="Arial" w:cs="Arial" w:eastAsia="Arial" w:hAnsi="Arial"/>
                <w:color w:val="D1FAE5"/>
                <w:sz w:val="16"/>
                <w:szCs w:val="16"/>
              </w:rPr>
              <w:t xml:space="preserve">Text/dark bg</w:t>
            </w:r>
          </w:p>
        </w:tc>
        <w:tc>
          <w:tcPr>
            <w:tcW w:type="dxa" w:w="1560"/>
            <w:tcBorders>
              <w:top w:val="none" w:color="FFFFFF" w:sz="0"/>
              <w:left w:val="none" w:color="FFFFFF" w:sz="0"/>
              <w:bottom w:val="none" w:color="FFFFFF" w:sz="0"/>
              <w:right w:val="none" w:color="FFFFFF" w:sz="0"/>
            </w:tcBorders>
            <w:shd w:fill="374151" w:val="clear"/>
            <w:tcMar>
              <w:top w:type="dxa" w:w="240"/>
              <w:left w:type="dxa" w:w="80"/>
              <w:bottom w:type="dxa" w:w="240"/>
              <w:right w:type="dxa" w:w="80"/>
            </w:tcMar>
            <w:vAlign w:val="center"/>
          </w:tcPr>
          <w:p>
            <w:pPr>
              <w:jc w:val="center"/>
            </w:pPr>
            <w:r>
              <w:rPr>
                <w:rFonts w:ascii="Courier New" w:cs="Courier New" w:eastAsia="Courier New" w:hAnsi="Courier New"/>
                <w:b/>
                <w:bCs/>
                <w:color w:val="FFFFFF"/>
                <w:sz w:val="18"/>
                <w:szCs w:val="18"/>
              </w:rPr>
              <w:t xml:space="preserve">#374151</w:t>
            </w:r>
          </w:p>
          <w:p>
            <w:pPr>
              <w:spacing w:before="40"/>
              <w:jc w:val="center"/>
            </w:pPr>
            <w:r>
              <w:rPr>
                <w:rFonts w:ascii="Arial" w:cs="Arial" w:eastAsia="Arial" w:hAnsi="Arial"/>
                <w:b/>
                <w:bCs/>
                <w:color w:val="FFFFFF"/>
                <w:sz w:val="18"/>
                <w:szCs w:val="18"/>
              </w:rPr>
              <w:t xml:space="preserve">Slate</w:t>
            </w:r>
          </w:p>
          <w:p>
            <w:pPr>
              <w:jc w:val="center"/>
            </w:pPr>
            <w:r>
              <w:rPr>
                <w:rFonts w:ascii="Arial" w:cs="Arial" w:eastAsia="Arial" w:hAnsi="Arial"/>
                <w:color w:val="D1FAE5"/>
                <w:sz w:val="16"/>
                <w:szCs w:val="16"/>
              </w:rPr>
              <w:t xml:space="preserve">Secondary text</w:t>
            </w:r>
          </w:p>
        </w:tc>
        <w:tc>
          <w:tcPr>
            <w:tcW w:type="dxa" w:w="1560"/>
            <w:tcBorders>
              <w:top w:val="none" w:color="FFFFFF" w:sz="0"/>
              <w:left w:val="none" w:color="FFFFFF" w:sz="0"/>
              <w:bottom w:val="none" w:color="FFFFFF" w:sz="0"/>
              <w:right w:val="none" w:color="FFFFFF" w:sz="0"/>
            </w:tcBorders>
            <w:shd w:fill="B45309" w:val="clear"/>
            <w:tcMar>
              <w:top w:type="dxa" w:w="240"/>
              <w:left w:type="dxa" w:w="80"/>
              <w:bottom w:type="dxa" w:w="240"/>
              <w:right w:type="dxa" w:w="80"/>
            </w:tcMar>
            <w:vAlign w:val="center"/>
          </w:tcPr>
          <w:p>
            <w:pPr>
              <w:jc w:val="center"/>
            </w:pPr>
            <w:r>
              <w:rPr>
                <w:rFonts w:ascii="Courier New" w:cs="Courier New" w:eastAsia="Courier New" w:hAnsi="Courier New"/>
                <w:b/>
                <w:bCs/>
                <w:color w:val="1A1A1A"/>
                <w:sz w:val="18"/>
                <w:szCs w:val="18"/>
              </w:rPr>
              <w:t xml:space="preserve">#B45309</w:t>
            </w:r>
          </w:p>
          <w:p>
            <w:pPr>
              <w:spacing w:before="40"/>
              <w:jc w:val="center"/>
            </w:pPr>
            <w:r>
              <w:rPr>
                <w:rFonts w:ascii="Arial" w:cs="Arial" w:eastAsia="Arial" w:hAnsi="Arial"/>
                <w:b/>
                <w:bCs/>
                <w:color w:val="1A1A1A"/>
                <w:sz w:val="18"/>
                <w:szCs w:val="18"/>
              </w:rPr>
              <w:t xml:space="preserve">Brass</w:t>
            </w:r>
          </w:p>
          <w:p>
            <w:pPr>
              <w:jc w:val="center"/>
            </w:pPr>
            <w:r>
              <w:rPr>
                <w:rFonts w:ascii="Arial" w:cs="Arial" w:eastAsia="Arial" w:hAnsi="Arial"/>
                <w:color w:val="374151"/>
                <w:sz w:val="16"/>
                <w:szCs w:val="16"/>
              </w:rPr>
              <w:t xml:space="preserve">Accent/CTA</w:t>
            </w:r>
          </w:p>
        </w:tc>
        <w:tc>
          <w:tcPr>
            <w:tcW w:type="dxa" w:w="1560"/>
            <w:tcBorders>
              <w:top w:val="none" w:color="FFFFFF" w:sz="0"/>
              <w:left w:val="none" w:color="FFFFFF" w:sz="0"/>
              <w:bottom w:val="none" w:color="FFFFFF" w:sz="0"/>
              <w:right w:val="none" w:color="FFFFFF" w:sz="0"/>
            </w:tcBorders>
            <w:shd w:fill="F9FAFB" w:val="clear"/>
            <w:tcMar>
              <w:top w:type="dxa" w:w="240"/>
              <w:left w:type="dxa" w:w="80"/>
              <w:bottom w:type="dxa" w:w="240"/>
              <w:right w:type="dxa" w:w="80"/>
            </w:tcMar>
            <w:vAlign w:val="center"/>
          </w:tcPr>
          <w:p>
            <w:pPr>
              <w:jc w:val="center"/>
            </w:pPr>
            <w:r>
              <w:rPr>
                <w:rFonts w:ascii="Courier New" w:cs="Courier New" w:eastAsia="Courier New" w:hAnsi="Courier New"/>
                <w:b/>
                <w:bCs/>
                <w:color w:val="1A1A1A"/>
                <w:sz w:val="18"/>
                <w:szCs w:val="18"/>
              </w:rPr>
              <w:t xml:space="preserve">#F9FAFB</w:t>
            </w:r>
          </w:p>
          <w:p>
            <w:pPr>
              <w:spacing w:before="40"/>
              <w:jc w:val="center"/>
            </w:pPr>
            <w:r>
              <w:rPr>
                <w:rFonts w:ascii="Arial" w:cs="Arial" w:eastAsia="Arial" w:hAnsi="Arial"/>
                <w:b/>
                <w:bCs/>
                <w:color w:val="1A1A1A"/>
                <w:sz w:val="18"/>
                <w:szCs w:val="18"/>
              </w:rPr>
              <w:t xml:space="preserve">Offwhite</w:t>
            </w:r>
          </w:p>
          <w:p>
            <w:pPr>
              <w:jc w:val="center"/>
            </w:pPr>
            <w:r>
              <w:rPr>
                <w:rFonts w:ascii="Arial" w:cs="Arial" w:eastAsia="Arial" w:hAnsi="Arial"/>
                <w:color w:val="374151"/>
                <w:sz w:val="16"/>
                <w:szCs w:val="16"/>
              </w:rPr>
              <w:t xml:space="preserve">Light bg</w:t>
            </w:r>
          </w:p>
        </w:tc>
      </w:tr>
    </w:tbl>
    <w:p>
      <w:pPr>
        <w:spacing w:after="0" w:before="80"/>
      </w:pPr>
      <w:r>
        <w:t xml:space="preserve"/>
      </w:r>
    </w:p>
    <w:p>
      <w:pPr>
        <w:spacing w:after="100" w:before="60"/>
      </w:pPr>
      <w:r>
        <w:rPr>
          <w:rFonts w:ascii="Arial" w:cs="Arial" w:eastAsia="Arial" w:hAnsi="Arial"/>
          <w:color w:val="1A1A1A"/>
          <w:sz w:val="22"/>
          <w:szCs w:val="22"/>
        </w:rPr>
        <w:t xml:space="preserve">Rationale: Dark green reads as premium, grown-up, and organic — the colour of serious institutions (BlackRock, McKinsey green variants) without the cold tech-blue of LinkedIn or the aggressive orange of Naukri. Brass/gold accent signals status and reward. Charcoal body text is easier to read than pure black on screens. Off-white backgrounds prevent the clinical feel of pure white.</w:t>
      </w:r>
    </w:p>
    <w:p>
      <w:pPr>
        <w:spacing w:after="0" w:before="60"/>
      </w:pPr>
      <w:r>
        <w:t xml:space="preserve"/>
      </w:r>
    </w:p>
    <w:p>
      <w:pPr>
        <w:pStyle w:val="Heading2"/>
        <w:spacing w:after="100" w:before="280"/>
      </w:pPr>
      <w:r>
        <w:rPr>
          <w:rFonts w:ascii="Arial" w:cs="Arial" w:eastAsia="Arial" w:hAnsi="Arial"/>
          <w:b/>
          <w:bCs/>
          <w:color w:val="374151"/>
          <w:sz w:val="28"/>
          <w:szCs w:val="28"/>
        </w:rPr>
        <w:t xml:space="preserve">5.2 Typography Direction</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Headings: Inter or Geist — clean, modern, legible at any size. No serif. No novelty fonts.</w:t>
      </w:r>
    </w:p>
    <w:p>
      <w:pPr>
        <w:pStyle w:val="ListParagraph"/>
        <w:numPr>
          <w:ilvl w:val="0"/>
          <w:numId w:val="2"/>
        </w:numPr>
        <w:spacing w:after="40" w:before="40"/>
      </w:pPr>
      <w:r>
        <w:rPr>
          <w:rFonts w:ascii="Arial" w:cs="Arial" w:eastAsia="Arial" w:hAnsi="Arial"/>
          <w:color w:val="1A1A1A"/>
          <w:sz w:val="22"/>
          <w:szCs w:val="22"/>
        </w:rPr>
        <w:t xml:space="preserve">Body: Inter at 15-16px. Line height 1.6. Not compressed. Premium feels spacious.</w:t>
      </w:r>
    </w:p>
    <w:p>
      <w:pPr>
        <w:pStyle w:val="ListParagraph"/>
        <w:numPr>
          <w:ilvl w:val="0"/>
          <w:numId w:val="2"/>
        </w:numPr>
        <w:spacing w:after="40" w:before="40"/>
      </w:pPr>
      <w:r>
        <w:rPr>
          <w:rFonts w:ascii="Arial" w:cs="Arial" w:eastAsia="Arial" w:hAnsi="Arial"/>
          <w:color w:val="1A1A1A"/>
          <w:sz w:val="22"/>
          <w:szCs w:val="22"/>
        </w:rPr>
        <w:t xml:space="preserve">Data/metrics: Mono font (JetBrains Mono or similar) for numbers — comp figures, scores, member counts.</w:t>
      </w:r>
    </w:p>
    <w:p>
      <w:pPr>
        <w:pStyle w:val="ListParagraph"/>
        <w:numPr>
          <w:ilvl w:val="0"/>
          <w:numId w:val="2"/>
        </w:numPr>
        <w:spacing w:after="40" w:before="40"/>
      </w:pPr>
      <w:r>
        <w:rPr>
          <w:rFonts w:ascii="Arial" w:cs="Arial" w:eastAsia="Arial" w:hAnsi="Arial"/>
          <w:color w:val="1A1A1A"/>
          <w:sz w:val="22"/>
          <w:szCs w:val="22"/>
        </w:rPr>
        <w:t xml:space="preserve">Never use system fonts for headings. The typography IS the brand signal on a screen product.</w:t>
      </w:r>
    </w:p>
    <w:p>
      <w:pPr>
        <w:spacing w:after="0" w:before="60"/>
      </w:pPr>
      <w:r>
        <w:t xml:space="preserve"/>
      </w:r>
    </w:p>
    <w:p>
      <w:pPr>
        <w:pStyle w:val="Heading2"/>
        <w:spacing w:after="100" w:before="280"/>
      </w:pPr>
      <w:r>
        <w:rPr>
          <w:rFonts w:ascii="Arial" w:cs="Arial" w:eastAsia="Arial" w:hAnsi="Arial"/>
          <w:b/>
          <w:bCs/>
          <w:color w:val="374151"/>
          <w:sz w:val="28"/>
          <w:szCs w:val="28"/>
        </w:rPr>
        <w:t xml:space="preserve">5.3 UI Principles for Premium Feel</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65F46"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RULE 1</w:t>
            </w:r>
          </w:p>
        </w:tc>
        <w:tc>
          <w:tcPr>
            <w:tcW w:type="dxa" w:w="8560"/>
            <w:tcBorders>
              <w:top w:val="none" w:color="FFFFFF" w:sz="0"/>
              <w:left w:val="none" w:color="FFFFFF" w:sz="0"/>
              <w:bottom w:val="none" w:color="FFFFFF" w:sz="0"/>
              <w:right w:val="none" w:color="FFFFFF" w:sz="0"/>
            </w:tcBorders>
            <w:shd w:fill="F0FDF4" w:val="clear"/>
            <w:tcMar>
              <w:top w:type="dxa" w:w="120"/>
              <w:left w:type="dxa" w:w="200"/>
              <w:bottom w:type="dxa" w:w="120"/>
              <w:right w:type="dxa" w:w="160"/>
            </w:tcMar>
          </w:tcPr>
          <w:p>
            <w:r>
              <w:rPr>
                <w:rFonts w:ascii="Arial" w:cs="Arial" w:eastAsia="Arial" w:hAnsi="Arial"/>
                <w:color w:val="1A1A1A"/>
                <w:sz w:val="22"/>
                <w:szCs w:val="22"/>
              </w:rPr>
              <w:t xml:space="preserve">Every screen has one primary action. Not three. Not five. One. If there are multiple CTAs, the premium feel collapses.</w:t>
            </w:r>
          </w:p>
        </w:tc>
      </w:tr>
    </w:tbl>
    <w:p>
      <w:pPr>
        <w:spacing w:after="0" w:before="3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65F46"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RULE 2</w:t>
            </w:r>
          </w:p>
        </w:tc>
        <w:tc>
          <w:tcPr>
            <w:tcW w:type="dxa" w:w="8560"/>
            <w:tcBorders>
              <w:top w:val="none" w:color="FFFFFF" w:sz="0"/>
              <w:left w:val="none" w:color="FFFFFF" w:sz="0"/>
              <w:bottom w:val="none" w:color="FFFFFF" w:sz="0"/>
              <w:right w:val="none" w:color="FFFFFF" w:sz="0"/>
            </w:tcBorders>
            <w:shd w:fill="F0FDF4" w:val="clear"/>
            <w:tcMar>
              <w:top w:type="dxa" w:w="120"/>
              <w:left w:type="dxa" w:w="200"/>
              <w:bottom w:type="dxa" w:w="120"/>
              <w:right w:type="dxa" w:w="160"/>
            </w:tcMar>
          </w:tcPr>
          <w:p>
            <w:r>
              <w:rPr>
                <w:rFonts w:ascii="Arial" w:cs="Arial" w:eastAsia="Arial" w:hAnsi="Arial"/>
                <w:color w:val="1A1A1A"/>
                <w:sz w:val="22"/>
                <w:szCs w:val="22"/>
              </w:rPr>
              <w:t xml:space="preserve">Dark mode as the default. Reforge, Linear, Vercel, Raycast — all the tools overachievers use are dark by default. It signals seriousness.</w:t>
            </w:r>
          </w:p>
        </w:tc>
      </w:tr>
    </w:tbl>
    <w:p>
      <w:pPr>
        <w:spacing w:after="0" w:before="3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65F46"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RULE 3</w:t>
            </w:r>
          </w:p>
        </w:tc>
        <w:tc>
          <w:tcPr>
            <w:tcW w:type="dxa" w:w="8560"/>
            <w:tcBorders>
              <w:top w:val="none" w:color="FFFFFF" w:sz="0"/>
              <w:left w:val="none" w:color="FFFFFF" w:sz="0"/>
              <w:bottom w:val="none" w:color="FFFFFF" w:sz="0"/>
              <w:right w:val="none" w:color="FFFFFF" w:sz="0"/>
            </w:tcBorders>
            <w:shd w:fill="F0FDF4" w:val="clear"/>
            <w:tcMar>
              <w:top w:type="dxa" w:w="120"/>
              <w:left w:type="dxa" w:w="200"/>
              <w:bottom w:type="dxa" w:w="120"/>
              <w:right w:type="dxa" w:w="160"/>
            </w:tcMar>
          </w:tcPr>
          <w:p>
            <w:r>
              <w:rPr>
                <w:rFonts w:ascii="Arial" w:cs="Arial" w:eastAsia="Arial" w:hAnsi="Arial"/>
                <w:color w:val="1A1A1A"/>
                <w:sz w:val="22"/>
                <w:szCs w:val="22"/>
              </w:rPr>
              <w:t xml:space="preserve">No empty states with cartoon illustrations. Empty states should use text-first copy that explains the value of filling the space. 'Your referral channel is quiet. Post a referral request — members convert at 3x compared to cold applications.'</w:t>
            </w:r>
          </w:p>
        </w:tc>
      </w:tr>
    </w:tbl>
    <w:p>
      <w:pPr>
        <w:spacing w:after="0" w:before="3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65F46"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RULE 4</w:t>
            </w:r>
          </w:p>
        </w:tc>
        <w:tc>
          <w:tcPr>
            <w:tcW w:type="dxa" w:w="8560"/>
            <w:tcBorders>
              <w:top w:val="none" w:color="FFFFFF" w:sz="0"/>
              <w:left w:val="none" w:color="FFFFFF" w:sz="0"/>
              <w:bottom w:val="none" w:color="FFFFFF" w:sz="0"/>
              <w:right w:val="none" w:color="FFFFFF" w:sz="0"/>
            </w:tcBorders>
            <w:shd w:fill="F0FDF4" w:val="clear"/>
            <w:tcMar>
              <w:top w:type="dxa" w:w="120"/>
              <w:left w:type="dxa" w:w="200"/>
              <w:bottom w:type="dxa" w:w="120"/>
              <w:right w:type="dxa" w:w="160"/>
            </w:tcMar>
          </w:tcPr>
          <w:p>
            <w:r>
              <w:rPr>
                <w:rFonts w:ascii="Arial" w:cs="Arial" w:eastAsia="Arial" w:hAnsi="Arial"/>
                <w:color w:val="1A1A1A"/>
                <w:sz w:val="22"/>
                <w:szCs w:val="22"/>
              </w:rPr>
              <w:t xml:space="preserve">Verified badges must be earned and visible. The green tick on a profile is not a decoration — it is social proof. Make it prominent without being garish.</w:t>
            </w:r>
          </w:p>
        </w:tc>
      </w:tr>
    </w:tbl>
    <w:p>
      <w:pPr>
        <w:spacing w:after="0" w:before="3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65F46"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RULE 5</w:t>
            </w:r>
          </w:p>
        </w:tc>
        <w:tc>
          <w:tcPr>
            <w:tcW w:type="dxa" w:w="8560"/>
            <w:tcBorders>
              <w:top w:val="none" w:color="FFFFFF" w:sz="0"/>
              <w:left w:val="none" w:color="FFFFFF" w:sz="0"/>
              <w:bottom w:val="none" w:color="FFFFFF" w:sz="0"/>
              <w:right w:val="none" w:color="FFFFFF" w:sz="0"/>
            </w:tcBorders>
            <w:shd w:fill="F0FDF4" w:val="clear"/>
            <w:tcMar>
              <w:top w:type="dxa" w:w="120"/>
              <w:left w:type="dxa" w:w="200"/>
              <w:bottom w:type="dxa" w:w="120"/>
              <w:right w:type="dxa" w:w="160"/>
            </w:tcMar>
          </w:tcPr>
          <w:p>
            <w:r>
              <w:rPr>
                <w:rFonts w:ascii="Arial" w:cs="Arial" w:eastAsia="Arial" w:hAnsi="Arial"/>
                <w:color w:val="1A1A1A"/>
                <w:sz w:val="22"/>
                <w:szCs w:val="22"/>
              </w:rPr>
              <w:t xml:space="preserve">Micro-interactions over animations. Hover states, transitions under 150ms, skeleton loaders. Never spinning loaders. Never confetti on every action.</w:t>
            </w:r>
          </w:p>
        </w:tc>
      </w:tr>
    </w:tbl>
    <w:p>
      <w:pPr>
        <w:spacing w:after="0" w:before="3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65F46"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RULE 6</w:t>
            </w:r>
          </w:p>
        </w:tc>
        <w:tc>
          <w:tcPr>
            <w:tcW w:type="dxa" w:w="8560"/>
            <w:tcBorders>
              <w:top w:val="none" w:color="FFFFFF" w:sz="0"/>
              <w:left w:val="none" w:color="FFFFFF" w:sz="0"/>
              <w:bottom w:val="none" w:color="FFFFFF" w:sz="0"/>
              <w:right w:val="none" w:color="FFFFFF" w:sz="0"/>
            </w:tcBorders>
            <w:shd w:fill="F0FDF4" w:val="clear"/>
            <w:tcMar>
              <w:top w:type="dxa" w:w="120"/>
              <w:left w:type="dxa" w:w="200"/>
              <w:bottom w:type="dxa" w:w="120"/>
              <w:right w:type="dxa" w:w="160"/>
            </w:tcMar>
          </w:tcPr>
          <w:p>
            <w:r>
              <w:rPr>
                <w:rFonts w:ascii="Arial" w:cs="Arial" w:eastAsia="Arial" w:hAnsi="Arial"/>
                <w:color w:val="1A1A1A"/>
                <w:sz w:val="22"/>
                <w:szCs w:val="22"/>
              </w:rPr>
              <w:t xml:space="preserve">Cards, not tables. Every piece of content, every member, every job should live in a card. Tables signal data-entry software. Cards signal product.</w:t>
            </w:r>
          </w:p>
        </w:tc>
      </w:tr>
    </w:tbl>
    <w:p>
      <w:pPr>
        <w:spacing w:after="0" w:before="3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65F46"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RULE 7</w:t>
            </w:r>
          </w:p>
        </w:tc>
        <w:tc>
          <w:tcPr>
            <w:tcW w:type="dxa" w:w="8560"/>
            <w:tcBorders>
              <w:top w:val="none" w:color="FFFFFF" w:sz="0"/>
              <w:left w:val="none" w:color="FFFFFF" w:sz="0"/>
              <w:bottom w:val="none" w:color="FFFFFF" w:sz="0"/>
              <w:right w:val="none" w:color="FFFFFF" w:sz="0"/>
            </w:tcBorders>
            <w:shd w:fill="F0FDF4" w:val="clear"/>
            <w:tcMar>
              <w:top w:type="dxa" w:w="120"/>
              <w:left w:type="dxa" w:w="200"/>
              <w:bottom w:type="dxa" w:w="120"/>
              <w:right w:type="dxa" w:w="160"/>
            </w:tcMar>
          </w:tcPr>
          <w:p>
            <w:r>
              <w:rPr>
                <w:rFonts w:ascii="Arial" w:cs="Arial" w:eastAsia="Arial" w:hAnsi="Arial"/>
                <w:color w:val="1A1A1A"/>
                <w:sz w:val="22"/>
                <w:szCs w:val="22"/>
              </w:rPr>
              <w:t xml:space="preserve">Density by context. The feed is spacious. The member directory is denser. The channel list is compact. Match density to how users consume each surface.</w:t>
            </w:r>
          </w:p>
        </w:tc>
      </w:tr>
    </w:tbl>
    <w:p>
      <w:pPr>
        <w:spacing w:after="0" w:before="120"/>
      </w:pPr>
      <w:r>
        <w:t xml:space="preserve"/>
      </w:r>
    </w:p>
    <w:p>
      <w:pPr>
        <w:pageBreakBefore/>
      </w:pPr>
      <w:r>
        <w:t xml:space="preserve"/>
      </w:r>
    </w:p>
    <w:p>
      <w:pPr>
        <w:pStyle w:val="Heading1"/>
        <w:pBdr>
          <w:bottom w:val="single" w:color="064E3B" w:sz="12"/>
        </w:pBdr>
        <w:spacing w:after="120" w:before="360"/>
      </w:pPr>
      <w:r>
        <w:rPr>
          <w:rFonts w:ascii="Arial" w:cs="Arial" w:eastAsia="Arial" w:hAnsi="Arial"/>
          <w:b/>
          <w:bCs/>
          <w:color w:val="064E3B"/>
          <w:sz w:val="36"/>
          <w:szCs w:val="36"/>
        </w:rPr>
        <w:t xml:space="preserve">6. Positioning Mentor as the Overachievers' Platform</w:t>
      </w:r>
    </w:p>
    <w:p>
      <w:pPr>
        <w:spacing w:after="120" w:before="80"/>
      </w:pPr>
      <w:r>
        <w:rPr>
          <w:rFonts w:ascii="Arial" w:cs="Arial" w:eastAsia="Arial" w:hAnsi="Arial"/>
          <w:i/>
          <w:iCs/>
          <w:color w:val="374151"/>
          <w:sz w:val="24"/>
          <w:szCs w:val="24"/>
        </w:rPr>
        <w:t xml:space="preserve">The brand must make someone feel, on first contact, that this was built for people like them — not everyone.</w:t>
      </w:r>
    </w:p>
    <w:p>
      <w:pPr>
        <w:spacing w:after="0" w:before="60"/>
      </w:pPr>
      <w:r>
        <w:t xml:space="preserve"/>
      </w:r>
    </w:p>
    <w:p>
      <w:pPr>
        <w:pStyle w:val="Heading2"/>
        <w:spacing w:after="100" w:before="280"/>
      </w:pPr>
      <w:r>
        <w:rPr>
          <w:rFonts w:ascii="Arial" w:cs="Arial" w:eastAsia="Arial" w:hAnsi="Arial"/>
          <w:b/>
          <w:bCs/>
          <w:color w:val="374151"/>
          <w:sz w:val="28"/>
          <w:szCs w:val="28"/>
        </w:rPr>
        <w:t xml:space="preserve">6.1 The Overachiever Profile</w:t>
      </w:r>
    </w:p>
    <w:p>
      <w:pPr>
        <w:spacing w:after="0" w:before="40"/>
      </w:pPr>
      <w:r>
        <w:t xml:space="preserve"/>
      </w:r>
    </w:p>
    <w:p>
      <w:pPr>
        <w:spacing w:after="100" w:before="60"/>
      </w:pPr>
      <w:r>
        <w:rPr>
          <w:rFonts w:ascii="Arial" w:cs="Arial" w:eastAsia="Arial" w:hAnsi="Arial"/>
          <w:color w:val="1A1A1A"/>
          <w:sz w:val="22"/>
          <w:szCs w:val="22"/>
        </w:rPr>
        <w:t xml:space="preserve">Mentor's target user has a specific psychology. They are not early in their career. They have proven themselves at one company and are asking: how do I get to the next level? They are frustrated that LinkedIn rewards people who post daily drivel. They are smart enough to know that most professional advice online is generic. They value their time aggressively. They want signal, not noise.</w:t>
      </w:r>
    </w:p>
    <w:p>
      <w:pPr>
        <w:spacing w:after="0" w:before="40"/>
      </w:pPr>
      <w:r>
        <w:t xml:space="preserve"/>
      </w:r>
    </w:p>
    <w:p>
      <w:pPr>
        <w:spacing w:after="100" w:before="60"/>
      </w:pPr>
      <w:r>
        <w:rPr>
          <w:rFonts w:ascii="Arial" w:cs="Arial" w:eastAsia="Arial" w:hAnsi="Arial"/>
          <w:color w:val="1A1A1A"/>
          <w:sz w:val="22"/>
          <w:szCs w:val="22"/>
        </w:rPr>
        <w:t xml:space="preserve">They are the PM who got promoted twice but cannot find peers at their seniority to think alongside. The marketing manager at a funded startup who wants to know what really goes on inside Zomato and Swiggy. The engineer who wants to switch to product and needs a real insider view, not a Medium article. And they are the recruiter at a high-growth D2C brand who is tired of sifting through 400 Naukri applications to find the 3 people worth talking to — and would rather post directly to 200 verified PMs who are actively engaged in their domain.</w:t>
      </w:r>
    </w:p>
    <w:p>
      <w:pPr>
        <w:spacing w:after="0" w:before="60"/>
      </w:pPr>
      <w:r>
        <w:t xml:space="preserve"/>
      </w:r>
    </w:p>
    <w:p>
      <w:pPr>
        <w:pStyle w:val="Heading2"/>
        <w:spacing w:after="100" w:before="280"/>
      </w:pPr>
      <w:r>
        <w:rPr>
          <w:rFonts w:ascii="Arial" w:cs="Arial" w:eastAsia="Arial" w:hAnsi="Arial"/>
          <w:b/>
          <w:bCs/>
          <w:color w:val="374151"/>
          <w:sz w:val="28"/>
          <w:szCs w:val="28"/>
        </w:rPr>
        <w:t xml:space="preserve">6.2 The Brand Voice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4"/>
              <w:left w:val="single" w:color="E5E7EB" w:sz="4"/>
              <w:bottom w:val="single" w:color="E5E7EB" w:sz="4"/>
              <w:right w:val="single" w:color="E5E7EB" w:sz="4"/>
            </w:tcBorders>
            <w:shd w:fill="064E3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MENTOR SPEAKS LIKE THIS</w:t>
            </w:r>
          </w:p>
        </w:tc>
        <w:tc>
          <w:tcPr>
            <w:tcW w:type="dxa" w:w="4680"/>
            <w:tcBorders>
              <w:top w:val="single" w:color="E5E7EB" w:sz="4"/>
              <w:left w:val="single" w:color="E5E7EB" w:sz="4"/>
              <w:bottom w:val="single" w:color="E5E7EB" w:sz="4"/>
              <w:right w:val="single" w:color="E5E7EB" w:sz="4"/>
            </w:tcBorders>
            <w:shd w:fill="991B1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NOT LIKE THIS</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A1A1A"/>
                <w:sz w:val="21"/>
                <w:szCs w:val="21"/>
              </w:rPr>
              <w:t xml:space="preserve">Direct. 'Your application was rejected because your answers were too vague.'</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A1A1A"/>
                <w:sz w:val="21"/>
                <w:szCs w:val="21"/>
              </w:rPr>
              <w:t xml:space="preserve">Diplomatic to the point of meaninglessness. 'We appreciate your interest but...'</w:t>
            </w:r>
          </w:p>
        </w:tc>
      </w:tr>
      <w:tr>
        <w:tc>
          <w:tcPr>
            <w:tcW w:type="dxa" w:w="4680"/>
            <w:tcBorders>
              <w:top w:val="single" w:color="E5E7EB" w:sz="4"/>
              <w:left w:val="single" w:color="E5E7EB" w:sz="4"/>
              <w:bottom w:val="single" w:color="E5E7EB" w:sz="4"/>
              <w:right w:val="single" w:color="E5E7EB" w:sz="4"/>
            </w:tcBorders>
            <w:shd w:fill="F0FDF4" w:val="clear"/>
            <w:tcMar>
              <w:top w:type="dxa" w:w="80"/>
              <w:left w:type="dxa" w:w="160"/>
              <w:bottom w:type="dxa" w:w="80"/>
              <w:right w:type="dxa" w:w="160"/>
            </w:tcMar>
          </w:tcPr>
          <w:p>
            <w:r>
              <w:rPr>
                <w:rFonts w:ascii="Arial" w:cs="Arial" w:eastAsia="Arial" w:hAnsi="Arial"/>
                <w:color w:val="1A1A1A"/>
                <w:sz w:val="21"/>
                <w:szCs w:val="21"/>
              </w:rPr>
              <w:t xml:space="preserve">Specific. 'Members in the Product community get an average of 2.3 referral introductions per month.'</w:t>
            </w:r>
          </w:p>
        </w:tc>
        <w:tc>
          <w:tcPr>
            <w:tcW w:type="dxa" w:w="4680"/>
            <w:tcBorders>
              <w:top w:val="single" w:color="E5E7EB" w:sz="4"/>
              <w:left w:val="single" w:color="E5E7EB" w:sz="4"/>
              <w:bottom w:val="single" w:color="E5E7EB" w:sz="4"/>
              <w:right w:val="single" w:color="E5E7EB" w:sz="4"/>
            </w:tcBorders>
            <w:shd w:fill="F0FDF4" w:val="clear"/>
            <w:tcMar>
              <w:top w:type="dxa" w:w="80"/>
              <w:left w:type="dxa" w:w="160"/>
              <w:bottom w:type="dxa" w:w="80"/>
              <w:right w:type="dxa" w:w="160"/>
            </w:tcMar>
          </w:tcPr>
          <w:p>
            <w:r>
              <w:rPr>
                <w:rFonts w:ascii="Arial" w:cs="Arial" w:eastAsia="Arial" w:hAnsi="Arial"/>
                <w:color w:val="1A1A1A"/>
                <w:sz w:val="21"/>
                <w:szCs w:val="21"/>
              </w:rPr>
              <w:t xml:space="preserve">Vague. 'Join a community of like-minded professionals.'</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A1A1A"/>
                <w:sz w:val="21"/>
                <w:szCs w:val="21"/>
              </w:rPr>
              <w:t xml:space="preserve">Earned confidence. 'We only admit 40% of applicants. That is by design.'</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A1A1A"/>
                <w:sz w:val="21"/>
                <w:szCs w:val="21"/>
              </w:rPr>
              <w:t xml:space="preserve">Hollow aspiration. 'Unlock your potential! Grow your network!'</w:t>
            </w:r>
          </w:p>
        </w:tc>
      </w:tr>
      <w:tr>
        <w:tc>
          <w:tcPr>
            <w:tcW w:type="dxa" w:w="4680"/>
            <w:tcBorders>
              <w:top w:val="single" w:color="E5E7EB" w:sz="4"/>
              <w:left w:val="single" w:color="E5E7EB" w:sz="4"/>
              <w:bottom w:val="single" w:color="E5E7EB" w:sz="4"/>
              <w:right w:val="single" w:color="E5E7EB" w:sz="4"/>
            </w:tcBorders>
            <w:shd w:fill="F0FDF4" w:val="clear"/>
            <w:tcMar>
              <w:top w:type="dxa" w:w="80"/>
              <w:left w:type="dxa" w:w="160"/>
              <w:bottom w:type="dxa" w:w="80"/>
              <w:right w:type="dxa" w:w="160"/>
            </w:tcMar>
          </w:tcPr>
          <w:p>
            <w:r>
              <w:rPr>
                <w:rFonts w:ascii="Arial" w:cs="Arial" w:eastAsia="Arial" w:hAnsi="Arial"/>
                <w:color w:val="1A1A1A"/>
                <w:sz w:val="21"/>
                <w:szCs w:val="21"/>
              </w:rPr>
              <w:t xml:space="preserve">Peer energy. 'Your group is discussing Q2 hiring freezes. Add your read.'</w:t>
            </w:r>
          </w:p>
        </w:tc>
        <w:tc>
          <w:tcPr>
            <w:tcW w:type="dxa" w:w="4680"/>
            <w:tcBorders>
              <w:top w:val="single" w:color="E5E7EB" w:sz="4"/>
              <w:left w:val="single" w:color="E5E7EB" w:sz="4"/>
              <w:bottom w:val="single" w:color="E5E7EB" w:sz="4"/>
              <w:right w:val="single" w:color="E5E7EB" w:sz="4"/>
            </w:tcBorders>
            <w:shd w:fill="F0FDF4" w:val="clear"/>
            <w:tcMar>
              <w:top w:type="dxa" w:w="80"/>
              <w:left w:type="dxa" w:w="160"/>
              <w:bottom w:type="dxa" w:w="80"/>
              <w:right w:type="dxa" w:w="160"/>
            </w:tcMar>
          </w:tcPr>
          <w:p>
            <w:r>
              <w:rPr>
                <w:rFonts w:ascii="Arial" w:cs="Arial" w:eastAsia="Arial" w:hAnsi="Arial"/>
                <w:color w:val="1A1A1A"/>
                <w:sz w:val="21"/>
                <w:szCs w:val="21"/>
              </w:rPr>
              <w:t xml:space="preserve">Corporate broadcast. 'Check out the latest insights from our experts!'</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A1A1A"/>
                <w:sz w:val="21"/>
                <w:szCs w:val="21"/>
              </w:rPr>
              <w:t xml:space="preserve">Honest about what it isn't. 'Mentor is not for casual networking. It is for people who want outcomes.'</w:t>
            </w:r>
          </w:p>
        </w:tc>
        <w:tc>
          <w:tcPr>
            <w:tcW w:type="dxa" w:w="46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tcPr>
          <w:p>
            <w:r>
              <w:rPr>
                <w:rFonts w:ascii="Arial" w:cs="Arial" w:eastAsia="Arial" w:hAnsi="Arial"/>
                <w:color w:val="1A1A1A"/>
                <w:sz w:val="21"/>
                <w:szCs w:val="21"/>
              </w:rPr>
              <w:t xml:space="preserve">Trying to be everything. 'Connect, learn, grow, and achieve your goals!'</w:t>
            </w:r>
          </w:p>
        </w:tc>
      </w:tr>
    </w:tbl>
    <w:p>
      <w:pPr>
        <w:spacing w:after="0" w:before="80"/>
      </w:pPr>
      <w:r>
        <w:t xml:space="preserve"/>
      </w:r>
    </w:p>
    <w:p>
      <w:pPr>
        <w:pStyle w:val="Heading2"/>
        <w:spacing w:after="100" w:before="280"/>
      </w:pPr>
      <w:r>
        <w:rPr>
          <w:rFonts w:ascii="Arial" w:cs="Arial" w:eastAsia="Arial" w:hAnsi="Arial"/>
          <w:b/>
          <w:bCs/>
          <w:color w:val="374151"/>
          <w:sz w:val="28"/>
          <w:szCs w:val="28"/>
        </w:rPr>
        <w:t xml:space="preserve">6.3 The Verification Narrative</w:t>
      </w:r>
    </w:p>
    <w:p>
      <w:pPr>
        <w:spacing w:after="0" w:before="40"/>
      </w:pPr>
      <w:r>
        <w:t xml:space="preserve"/>
      </w:r>
    </w:p>
    <w:p>
      <w:pPr>
        <w:spacing w:after="100" w:before="60"/>
      </w:pPr>
      <w:r>
        <w:rPr>
          <w:rFonts w:ascii="Arial" w:cs="Arial" w:eastAsia="Arial" w:hAnsi="Arial"/>
          <w:color w:val="1A1A1A"/>
          <w:sz w:val="22"/>
          <w:szCs w:val="22"/>
        </w:rPr>
        <w:t xml:space="preserve">The AI-powered screening is not just a feature — it is the founding story. Lead with it everywhere. The fact that every person in the room has been vetted is what makes every conversation worth having. Other platforms let anyone in. Mentor decided not to. Frame that as a gift to members, not a barrier.</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45309"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COPY DIRECTION</w:t>
            </w:r>
          </w:p>
        </w:tc>
        <w:tc>
          <w:tcPr>
            <w:tcW w:type="dxa" w:w="8560"/>
            <w:tcBorders>
              <w:top w:val="none" w:color="FFFFFF" w:sz="0"/>
              <w:left w:val="none" w:color="FFFFFF" w:sz="0"/>
              <w:bottom w:val="none" w:color="FFFFFF" w:sz="0"/>
              <w:right w:val="none" w:color="FFFFFF" w:sz="0"/>
            </w:tcBorders>
            <w:shd w:fill="FEF3C7" w:val="clear"/>
            <w:tcMar>
              <w:top w:type="dxa" w:w="120"/>
              <w:left w:type="dxa" w:w="200"/>
              <w:bottom w:type="dxa" w:w="120"/>
              <w:right w:type="dxa" w:w="160"/>
            </w:tcMar>
          </w:tcPr>
          <w:p>
            <w:r>
              <w:rPr>
                <w:rFonts w:ascii="Arial" w:cs="Arial" w:eastAsia="Arial" w:hAnsi="Arial"/>
                <w:color w:val="1A1A1A"/>
                <w:sz w:val="22"/>
                <w:szCs w:val="22"/>
              </w:rPr>
              <w:t xml:space="preserve">"Everyone here earned their seat. Your AI score was 84/100. Welcome to the Product community." — This kind of message should be the very first thing a new member reads.</w:t>
            </w:r>
          </w:p>
        </w:tc>
      </w:tr>
    </w:tbl>
    <w:p>
      <w:pPr>
        <w:spacing w:after="0" w:before="120"/>
      </w:pPr>
      <w:r>
        <w:t xml:space="preserve"/>
      </w:r>
    </w:p>
    <w:p>
      <w:pPr>
        <w:pageBreakBefore/>
      </w:pPr>
      <w:r>
        <w:t xml:space="preserve"/>
      </w:r>
    </w:p>
    <w:p>
      <w:pPr>
        <w:pStyle w:val="Heading1"/>
        <w:pBdr>
          <w:bottom w:val="single" w:color="064E3B" w:sz="12"/>
        </w:pBdr>
        <w:spacing w:after="120" w:before="360"/>
      </w:pPr>
      <w:r>
        <w:rPr>
          <w:rFonts w:ascii="Arial" w:cs="Arial" w:eastAsia="Arial" w:hAnsi="Arial"/>
          <w:b/>
          <w:bCs/>
          <w:color w:val="064E3B"/>
          <w:sz w:val="36"/>
          <w:szCs w:val="36"/>
        </w:rPr>
        <w:t xml:space="preserve">7. What You Are Missing — Questions, Gaps, and Loopholes</w:t>
      </w:r>
    </w:p>
    <w:p>
      <w:pPr>
        <w:spacing w:after="120" w:before="80"/>
      </w:pPr>
      <w:r>
        <w:rPr>
          <w:rFonts w:ascii="Arial" w:cs="Arial" w:eastAsia="Arial" w:hAnsi="Arial"/>
          <w:i/>
          <w:iCs/>
          <w:color w:val="374151"/>
          <w:sz w:val="24"/>
          <w:szCs w:val="24"/>
        </w:rPr>
        <w:t xml:space="preserve">The hardest questions to ask yourself. Answer these before raising money or scaling.</w:t>
      </w:r>
    </w:p>
    <w:p>
      <w:pPr>
        <w:spacing w:after="0" w:before="60"/>
      </w:pPr>
      <w:r>
        <w:t xml:space="preserve"/>
      </w:r>
    </w:p>
    <w:p>
      <w:pPr>
        <w:pStyle w:val="Heading2"/>
        <w:spacing w:after="100" w:before="280"/>
      </w:pPr>
      <w:r>
        <w:rPr>
          <w:rFonts w:ascii="Arial" w:cs="Arial" w:eastAsia="Arial" w:hAnsi="Arial"/>
          <w:b/>
          <w:bCs/>
          <w:color w:val="374151"/>
          <w:sz w:val="28"/>
          <w:szCs w:val="28"/>
        </w:rPr>
        <w:t xml:space="preserve">7.1 Structural Questions</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Who moderates the groups? AI screening gets people in, but who keeps quality high once they are inside? The first 100 members per group set the culture. Do you have a plan for community managers (paid or volunteer)?</w:t>
      </w:r>
    </w:p>
    <w:p>
      <w:pPr>
        <w:pStyle w:val="ListParagraph"/>
        <w:numPr>
          <w:ilvl w:val="0"/>
          <w:numId w:val="2"/>
        </w:numPr>
        <w:spacing w:after="40" w:before="40"/>
      </w:pPr>
      <w:r>
        <w:rPr>
          <w:rFonts w:ascii="Arial" w:cs="Arial" w:eastAsia="Arial" w:hAnsi="Arial"/>
          <w:color w:val="1A1A1A"/>
          <w:sz w:val="22"/>
          <w:szCs w:val="22"/>
        </w:rPr>
        <w:t xml:space="preserve">What is the re-application strategy? Currently: reject and say 'try again when you have more experience.' But when? What does improvement look like? A rejected user who comes back and gets in is your most loyal member. Build a re-application flow with specific improvement guidance.</w:t>
      </w:r>
    </w:p>
    <w:p>
      <w:pPr>
        <w:pStyle w:val="ListParagraph"/>
        <w:numPr>
          <w:ilvl w:val="0"/>
          <w:numId w:val="2"/>
        </w:numPr>
        <w:spacing w:after="40" w:before="40"/>
      </w:pPr>
      <w:r>
        <w:rPr>
          <w:rFonts w:ascii="Arial" w:cs="Arial" w:eastAsia="Arial" w:hAnsi="Arial"/>
          <w:color w:val="1A1A1A"/>
          <w:sz w:val="22"/>
          <w:szCs w:val="22"/>
        </w:rPr>
        <w:t xml:space="preserve">What happens when a community has 1,000 members? At scale, 'verified peer group' breaks unless you add sub-groups, seniority tiers, or cohort mechanics. Plan for this before it becomes a crisis.</w:t>
      </w:r>
    </w:p>
    <w:p>
      <w:pPr>
        <w:pStyle w:val="ListParagraph"/>
        <w:numPr>
          <w:ilvl w:val="0"/>
          <w:numId w:val="2"/>
        </w:numPr>
        <w:spacing w:after="40" w:before="40"/>
      </w:pPr>
      <w:r>
        <w:rPr>
          <w:rFonts w:ascii="Arial" w:cs="Arial" w:eastAsia="Arial" w:hAnsi="Arial"/>
          <w:color w:val="1A1A1A"/>
          <w:sz w:val="22"/>
          <w:szCs w:val="22"/>
        </w:rPr>
        <w:t xml:space="preserve">Are your 8 groups the right 8? Product, Marketing, Engineering, Design, Finance, Operations, Sales, Data — but what about Legal? People Management? Founders? VC/PE? The choice of groups signals who Mentor is for. Be intentional.</w:t>
      </w:r>
    </w:p>
    <w:p>
      <w:pPr>
        <w:pStyle w:val="ListParagraph"/>
        <w:numPr>
          <w:ilvl w:val="0"/>
          <w:numId w:val="2"/>
        </w:numPr>
        <w:spacing w:after="40" w:before="40"/>
      </w:pPr>
      <w:r>
        <w:rPr>
          <w:rFonts w:ascii="Arial" w:cs="Arial" w:eastAsia="Arial" w:hAnsi="Arial"/>
          <w:color w:val="1A1A1A"/>
          <w:sz w:val="22"/>
          <w:szCs w:val="22"/>
        </w:rPr>
        <w:t xml:space="preserve">How does Mentor make money? Freemium with group access free, premium features paid? Employer access to the member directory? Event ticketing? Recruiters paying for verified candidate access? You need a model that does not compromise community trust.</w:t>
      </w:r>
    </w:p>
    <w:p>
      <w:pPr>
        <w:spacing w:after="0" w:before="60"/>
      </w:pPr>
      <w:r>
        <w:t xml:space="preserve"/>
      </w:r>
    </w:p>
    <w:p>
      <w:pPr>
        <w:pStyle w:val="Heading2"/>
        <w:spacing w:after="100" w:before="280"/>
      </w:pPr>
      <w:r>
        <w:rPr>
          <w:rFonts w:ascii="Arial" w:cs="Arial" w:eastAsia="Arial" w:hAnsi="Arial"/>
          <w:b/>
          <w:bCs/>
          <w:color w:val="374151"/>
          <w:sz w:val="28"/>
          <w:szCs w:val="28"/>
        </w:rPr>
        <w:t xml:space="preserve">7.2 Product Loopholes</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The AI can be gamed. Sophisticated users will craft answers to pass screening. Counter: add a 30-day probation period where group moderators can flag new members. Combine AI pre-screening with human spot-checks at 50+ members/group.</w:t>
      </w:r>
    </w:p>
    <w:p>
      <w:pPr>
        <w:pStyle w:val="ListParagraph"/>
        <w:numPr>
          <w:ilvl w:val="0"/>
          <w:numId w:val="2"/>
        </w:numPr>
        <w:spacing w:after="40" w:before="40"/>
      </w:pPr>
      <w:r>
        <w:rPr>
          <w:rFonts w:ascii="Arial" w:cs="Arial" w:eastAsia="Arial" w:hAnsi="Arial"/>
          <w:color w:val="1A1A1A"/>
          <w:sz w:val="22"/>
          <w:szCs w:val="22"/>
        </w:rPr>
        <w:t xml:space="preserve">Verified at what point in time? A member screened today as 'Senior PM at Razorpay' could be unemployed next month. Build an annual re-verification nudge. Employment status changes. Community quality depends on current relevance, not past credentials.</w:t>
      </w:r>
    </w:p>
    <w:p>
      <w:pPr>
        <w:pStyle w:val="ListParagraph"/>
        <w:numPr>
          <w:ilvl w:val="0"/>
          <w:numId w:val="2"/>
        </w:numPr>
        <w:spacing w:after="40" w:before="40"/>
      </w:pPr>
      <w:r>
        <w:rPr>
          <w:rFonts w:ascii="Arial" w:cs="Arial" w:eastAsia="Arial" w:hAnsi="Arial"/>
          <w:color w:val="1A1A1A"/>
          <w:sz w:val="22"/>
          <w:szCs w:val="22"/>
        </w:rPr>
        <w:t xml:space="preserve">The feed is only as good as the least engaged member. If 80% of members are lurkers (industry average is 90/9/1 — 90% consume, 9% comment, 1% create), the feed dies. You need a content seeding strategy. Founders, community managers, or power users must own early content creation.</w:t>
      </w:r>
    </w:p>
    <w:p>
      <w:pPr>
        <w:pStyle w:val="ListParagraph"/>
        <w:numPr>
          <w:ilvl w:val="0"/>
          <w:numId w:val="2"/>
        </w:numPr>
        <w:spacing w:after="40" w:before="40"/>
      </w:pPr>
      <w:r>
        <w:rPr>
          <w:rFonts w:ascii="Arial" w:cs="Arial" w:eastAsia="Arial" w:hAnsi="Arial"/>
          <w:color w:val="1A1A1A"/>
          <w:sz w:val="22"/>
          <w:szCs w:val="22"/>
        </w:rPr>
        <w:t xml:space="preserve">Cross-community contamination. A Product community member can apply to the Marketing community and get in if they qualify. Is that good (more connections) or bad (dilutes role specificity)? Decide now. Our recommendation: allow membership in up to 2 communities, surface posts from primary community by default.</w:t>
      </w:r>
    </w:p>
    <w:p>
      <w:pPr>
        <w:pStyle w:val="ListParagraph"/>
        <w:numPr>
          <w:ilvl w:val="0"/>
          <w:numId w:val="2"/>
        </w:numPr>
        <w:spacing w:after="40" w:before="40"/>
      </w:pPr>
      <w:r>
        <w:rPr>
          <w:rFonts w:ascii="Arial" w:cs="Arial" w:eastAsia="Arial" w:hAnsi="Arial"/>
          <w:color w:val="1A1A1A"/>
          <w:sz w:val="22"/>
          <w:szCs w:val="22"/>
        </w:rPr>
        <w:t xml:space="preserve">No onboarding for approved members. The current flow gets users approved and sends them to /communities/[slug]. Then what? The first 10 minutes of community membership determines long-term retention. Build a 3-step new member onboarding: introduce yourself, find 3 members to follow, post your first question.</w:t>
      </w:r>
    </w:p>
    <w:p>
      <w:pPr>
        <w:spacing w:after="0" w:before="60"/>
      </w:pPr>
      <w:r>
        <w:t xml:space="preserve"/>
      </w:r>
    </w:p>
    <w:p>
      <w:pPr>
        <w:pStyle w:val="Heading2"/>
        <w:spacing w:after="100" w:before="280"/>
      </w:pPr>
      <w:r>
        <w:rPr>
          <w:rFonts w:ascii="Arial" w:cs="Arial" w:eastAsia="Arial" w:hAnsi="Arial"/>
          <w:b/>
          <w:bCs/>
          <w:color w:val="374151"/>
          <w:sz w:val="28"/>
          <w:szCs w:val="28"/>
        </w:rPr>
        <w:t xml:space="preserve">7.3 Business and Growth Gaps</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No referral loop for new members. Every approved member should be given 3 invite tokens for peers they believe would pass screening. Curated invites grow faster than open applications and maintain quality signal.</w:t>
      </w:r>
    </w:p>
    <w:p>
      <w:pPr>
        <w:pStyle w:val="ListParagraph"/>
        <w:numPr>
          <w:ilvl w:val="0"/>
          <w:numId w:val="2"/>
        </w:numPr>
        <w:spacing w:after="40" w:before="40"/>
      </w:pPr>
      <w:r>
        <w:rPr>
          <w:rFonts w:ascii="Arial" w:cs="Arial" w:eastAsia="Arial" w:hAnsi="Arial"/>
          <w:color w:val="1A1A1A"/>
          <w:sz w:val="22"/>
          <w:szCs w:val="22"/>
        </w:rPr>
        <w:t xml:space="preserve">The employer posting flow does not exist yet. The core monetisation — companies paying to post jobs directly to verified role groups — is the product, but it has not been built. A Souled Store recruiter cannot currently log in as a company, select 'Product' group, post a job, and reach 400 verified PMs. This is what needs to be built in Q2. Until then, the revenue model exists only in theory.</w:t>
      </w:r>
    </w:p>
    <w:p>
      <w:pPr>
        <w:pStyle w:val="ListParagraph"/>
        <w:numPr>
          <w:ilvl w:val="0"/>
          <w:numId w:val="2"/>
        </w:numPr>
        <w:spacing w:after="40" w:before="40"/>
      </w:pPr>
      <w:r>
        <w:rPr>
          <w:rFonts w:ascii="Arial" w:cs="Arial" w:eastAsia="Arial" w:hAnsi="Arial"/>
          <w:color w:val="1A1A1A"/>
          <w:sz w:val="22"/>
          <w:szCs w:val="22"/>
        </w:rPr>
        <w:t xml:space="preserve">The India-first angle is underexploited. No competitor has built a truly premium product for the Indian professional market. This is not a weakness — it is the biggest opportunity. But 'India-first' must show up in the product: INR pricing, Indian company examples, reference to Indian career trajectories (IIT/IIM graduate vs. non-pedigree overachiever, etc.).</w:t>
      </w:r>
    </w:p>
    <w:p>
      <w:pPr>
        <w:pStyle w:val="ListParagraph"/>
        <w:numPr>
          <w:ilvl w:val="0"/>
          <w:numId w:val="2"/>
        </w:numPr>
        <w:spacing w:after="40" w:before="40"/>
      </w:pPr>
      <w:r>
        <w:rPr>
          <w:rFonts w:ascii="Arial" w:cs="Arial" w:eastAsia="Arial" w:hAnsi="Arial"/>
          <w:color w:val="1A1A1A"/>
          <w:sz w:val="22"/>
          <w:szCs w:val="22"/>
        </w:rPr>
        <w:t xml:space="preserve">No public credibility signals. How does someone discover Mentor? If the product is fully gated, there is no organic growth loop. Build a public-facing 'State of the Profession' report published quarterly — anonymous aggregated data from the community. This is how Levels.fyi grew. It gives journalists and LinkedIn posters something to link to.</w:t>
      </w:r>
    </w:p>
    <w:p>
      <w:pPr>
        <w:pStyle w:val="ListParagraph"/>
        <w:numPr>
          <w:ilvl w:val="0"/>
          <w:numId w:val="2"/>
        </w:numPr>
        <w:spacing w:after="40" w:before="40"/>
      </w:pPr>
      <w:r>
        <w:rPr>
          <w:rFonts w:ascii="Arial" w:cs="Arial" w:eastAsia="Arial" w:hAnsi="Arial"/>
          <w:color w:val="1A1A1A"/>
          <w:sz w:val="22"/>
          <w:szCs w:val="22"/>
        </w:rPr>
        <w:t xml:space="preserve">No retention metric defined. What does 'active member' mean? Weekly active (posts or comments), monthly active (reads)? Set the definition now so you can measure whether the community is alive or dying before it is too late.</w:t>
      </w:r>
    </w:p>
    <w:p>
      <w:pPr>
        <w:spacing w:after="0" w:before="60"/>
      </w:pPr>
      <w:r>
        <w:t xml:space="preserve"/>
      </w:r>
    </w:p>
    <w:p>
      <w:pPr>
        <w:pStyle w:val="Heading2"/>
        <w:spacing w:after="100" w:before="280"/>
      </w:pPr>
      <w:r>
        <w:rPr>
          <w:rFonts w:ascii="Arial" w:cs="Arial" w:eastAsia="Arial" w:hAnsi="Arial"/>
          <w:b/>
          <w:bCs/>
          <w:color w:val="374151"/>
          <w:sz w:val="28"/>
          <w:szCs w:val="28"/>
        </w:rPr>
        <w:t xml:space="preserve">7.4 Design and UX Gaps</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No mobile-first experience for core use cases. Reading posts in a channel, applying for a job, checking your application status — these happen on phones. The current build feels web-first. Mobile should feel like a native app, not a responsive website.</w:t>
      </w:r>
    </w:p>
    <w:p>
      <w:pPr>
        <w:pStyle w:val="ListParagraph"/>
        <w:numPr>
          <w:ilvl w:val="0"/>
          <w:numId w:val="2"/>
        </w:numPr>
        <w:spacing w:after="40" w:before="40"/>
      </w:pPr>
      <w:r>
        <w:rPr>
          <w:rFonts w:ascii="Arial" w:cs="Arial" w:eastAsia="Arial" w:hAnsi="Arial"/>
          <w:color w:val="1A1A1A"/>
          <w:sz w:val="22"/>
          <w:szCs w:val="22"/>
        </w:rPr>
        <w:t xml:space="preserve">The channel structure (Discussions, Upskilling, Referrals, Job Board) is logical but not emotional. Rename channels to reflect behaviour: 'War Room' for discussions, 'Library' for upskilling, 'Warm Intros' for referrals, 'Open Roles' for jobs. Language signals culture.</w:t>
      </w:r>
    </w:p>
    <w:p>
      <w:pPr>
        <w:pStyle w:val="ListParagraph"/>
        <w:numPr>
          <w:ilvl w:val="0"/>
          <w:numId w:val="2"/>
        </w:numPr>
        <w:spacing w:after="40" w:before="40"/>
      </w:pPr>
      <w:r>
        <w:rPr>
          <w:rFonts w:ascii="Arial" w:cs="Arial" w:eastAsia="Arial" w:hAnsi="Arial"/>
          <w:color w:val="1A1A1A"/>
          <w:sz w:val="22"/>
          <w:szCs w:val="22"/>
        </w:rPr>
        <w:t xml:space="preserve">No achievements or visible milestones. Overachievers respond to visible progress. Show: 'Member since April 2026 — 3 referrals given — 1 job found via Mentor'. These are status signals that encourage behaviour.</w:t>
      </w:r>
    </w:p>
    <w:p>
      <w:pPr>
        <w:pStyle w:val="ListParagraph"/>
        <w:numPr>
          <w:ilvl w:val="0"/>
          <w:numId w:val="2"/>
        </w:numPr>
        <w:spacing w:after="40" w:before="40"/>
      </w:pPr>
      <w:r>
        <w:rPr>
          <w:rFonts w:ascii="Arial" w:cs="Arial" w:eastAsia="Arial" w:hAnsi="Arial"/>
          <w:color w:val="1A1A1A"/>
          <w:sz w:val="22"/>
          <w:szCs w:val="22"/>
        </w:rPr>
        <w:t xml:space="preserve">The AI rejection feedback is a retention moment being wasted. A rejected applicant who receives specific, personalised feedback is far more likely to re-apply (and succeed) than one who gets a generic decline. The AI already produces feedback — make it the most carefully designed screen in the product.</w:t>
      </w:r>
    </w:p>
    <w:p>
      <w:pPr>
        <w:spacing w:after="0" w:before="120"/>
      </w:pPr>
      <w:r>
        <w:t xml:space="preserve"/>
      </w:r>
    </w:p>
    <w:p>
      <w:pPr>
        <w:pageBreakBefore/>
      </w:pPr>
      <w:r>
        <w:t xml:space="preserve"/>
      </w:r>
    </w:p>
    <w:p>
      <w:pPr>
        <w:pStyle w:val="Heading1"/>
        <w:pBdr>
          <w:bottom w:val="single" w:color="064E3B" w:sz="12"/>
        </w:pBdr>
        <w:spacing w:after="120" w:before="360"/>
      </w:pPr>
      <w:r>
        <w:rPr>
          <w:rFonts w:ascii="Arial" w:cs="Arial" w:eastAsia="Arial" w:hAnsi="Arial"/>
          <w:b/>
          <w:bCs/>
          <w:color w:val="064E3B"/>
          <w:sz w:val="36"/>
          <w:szCs w:val="36"/>
        </w:rPr>
        <w:t xml:space="preserve">8. Recommended Immediate Actions</w:t>
      </w:r>
    </w:p>
    <w:p>
      <w:pPr>
        <w:spacing w:after="120" w:before="80"/>
      </w:pPr>
      <w:r>
        <w:rPr>
          <w:rFonts w:ascii="Arial" w:cs="Arial" w:eastAsia="Arial" w:hAnsi="Arial"/>
          <w:i/>
          <w:iCs/>
          <w:color w:val="374151"/>
          <w:sz w:val="24"/>
          <w:szCs w:val="24"/>
        </w:rPr>
        <w:t xml:space="preserve">Rank-ordered by impact and feasibility. Do not build any of these without a way to measure outcome.</w:t>
      </w:r>
    </w:p>
    <w:p>
      <w:pPr>
        <w:spacing w:after="0" w:before="60"/>
      </w:pPr>
      <w:r>
        <w:t xml:space="preserve"/>
      </w:r>
    </w:p>
    <w:p>
      <w:pPr>
        <w:pStyle w:val="Heading2"/>
        <w:spacing w:after="100" w:before="280"/>
      </w:pPr>
      <w:r>
        <w:rPr>
          <w:rFonts w:ascii="Arial" w:cs="Arial" w:eastAsia="Arial" w:hAnsi="Arial"/>
          <w:b/>
          <w:bCs/>
          <w:color w:val="374151"/>
          <w:sz w:val="28"/>
          <w:szCs w:val="28"/>
        </w:rPr>
        <w:t xml:space="preserve">8.1 This Week</w:t>
      </w:r>
    </w:p>
    <w:p>
      <w:pPr>
        <w:spacing w:after="0" w:before="40"/>
      </w:pPr>
      <w:r>
        <w:t xml:space="preserve"/>
      </w:r>
    </w:p>
    <w:p>
      <w:pPr>
        <w:pStyle w:val="ListParagraph"/>
        <w:numPr>
          <w:ilvl w:val="0"/>
          <w:numId w:val="3"/>
        </w:numPr>
        <w:spacing w:after="60" w:before="60"/>
      </w:pPr>
      <w:r>
        <w:rPr>
          <w:rFonts w:ascii="Arial" w:cs="Arial" w:eastAsia="Arial" w:hAnsi="Arial"/>
          <w:sz w:val="22"/>
          <w:szCs w:val="22"/>
        </w:rPr>
        <w:t xml:space="preserve">Dark mode as default. Single CSS variable change. Signals seriousness immediately.</w:t>
      </w:r>
    </w:p>
    <w:p>
      <w:pPr>
        <w:pStyle w:val="ListParagraph"/>
        <w:numPr>
          <w:ilvl w:val="0"/>
          <w:numId w:val="3"/>
        </w:numPr>
        <w:spacing w:after="60" w:before="60"/>
      </w:pPr>
      <w:r>
        <w:rPr>
          <w:rFonts w:ascii="Arial" w:cs="Arial" w:eastAsia="Arial" w:hAnsi="Arial"/>
          <w:sz w:val="22"/>
          <w:szCs w:val="22"/>
        </w:rPr>
        <w:t xml:space="preserve">Remove or hide every feature that has no group context: standalone feed, open resume builder, mock interview entry point. Simplify the nav to: Groups, Messages, Profile.</w:t>
      </w:r>
    </w:p>
    <w:p>
      <w:pPr>
        <w:pStyle w:val="ListParagraph"/>
        <w:numPr>
          <w:ilvl w:val="0"/>
          <w:numId w:val="3"/>
        </w:numPr>
        <w:spacing w:after="60" w:before="60"/>
      </w:pPr>
      <w:r>
        <w:rPr>
          <w:rFonts w:ascii="Arial" w:cs="Arial" w:eastAsia="Arial" w:hAnsi="Arial"/>
          <w:sz w:val="22"/>
          <w:szCs w:val="22"/>
        </w:rPr>
        <w:t xml:space="preserve">Rewrite every empty state to be copy-led with a specific value promise rather than an illustration or generic prompt.</w:t>
      </w:r>
    </w:p>
    <w:p>
      <w:pPr>
        <w:pStyle w:val="ListParagraph"/>
        <w:numPr>
          <w:ilvl w:val="0"/>
          <w:numId w:val="3"/>
        </w:numPr>
        <w:spacing w:after="60" w:before="60"/>
      </w:pPr>
      <w:r>
        <w:rPr>
          <w:rFonts w:ascii="Arial" w:cs="Arial" w:eastAsia="Arial" w:hAnsi="Arial"/>
          <w:sz w:val="22"/>
          <w:szCs w:val="22"/>
        </w:rPr>
        <w:t xml:space="preserve">Run migration 014 to activate the full gated group system end-to-end.</w:t>
      </w:r>
    </w:p>
    <w:p>
      <w:pPr>
        <w:spacing w:after="0" w:before="60"/>
      </w:pPr>
      <w:r>
        <w:t xml:space="preserve"/>
      </w:r>
    </w:p>
    <w:p>
      <w:pPr>
        <w:pStyle w:val="Heading2"/>
        <w:spacing w:after="100" w:before="280"/>
      </w:pPr>
      <w:r>
        <w:rPr>
          <w:rFonts w:ascii="Arial" w:cs="Arial" w:eastAsia="Arial" w:hAnsi="Arial"/>
          <w:b/>
          <w:bCs/>
          <w:color w:val="374151"/>
          <w:sz w:val="28"/>
          <w:szCs w:val="28"/>
        </w:rPr>
        <w:t xml:space="preserve">8.2 This Month</w:t>
      </w:r>
    </w:p>
    <w:p>
      <w:pPr>
        <w:spacing w:after="0" w:before="40"/>
      </w:pPr>
      <w:r>
        <w:t xml:space="preserve"/>
      </w:r>
    </w:p>
    <w:p>
      <w:pPr>
        <w:pStyle w:val="ListParagraph"/>
        <w:numPr>
          <w:ilvl w:val="0"/>
          <w:numId w:val="3"/>
        </w:numPr>
        <w:spacing w:after="60" w:before="60"/>
      </w:pPr>
      <w:r>
        <w:rPr>
          <w:rFonts w:ascii="Arial" w:cs="Arial" w:eastAsia="Arial" w:hAnsi="Arial"/>
          <w:sz w:val="22"/>
          <w:szCs w:val="22"/>
        </w:rPr>
        <w:t xml:space="preserve">Build the new member onboarding sequence inside approved communities (introduce yourself, find 3 peers, post first question).</w:t>
      </w:r>
    </w:p>
    <w:p>
      <w:pPr>
        <w:pStyle w:val="ListParagraph"/>
        <w:numPr>
          <w:ilvl w:val="0"/>
          <w:numId w:val="3"/>
        </w:numPr>
        <w:spacing w:after="60" w:before="60"/>
      </w:pPr>
      <w:r>
        <w:rPr>
          <w:rFonts w:ascii="Arial" w:cs="Arial" w:eastAsia="Arial" w:hAnsi="Arial"/>
          <w:sz w:val="22"/>
          <w:szCs w:val="22"/>
        </w:rPr>
        <w:t xml:space="preserve">Add re-application flow with specific improvement guidance from the AI rejection feedback.</w:t>
      </w:r>
    </w:p>
    <w:p>
      <w:pPr>
        <w:pStyle w:val="ListParagraph"/>
        <w:numPr>
          <w:ilvl w:val="0"/>
          <w:numId w:val="3"/>
        </w:numPr>
        <w:spacing w:after="60" w:before="60"/>
      </w:pPr>
      <w:r>
        <w:rPr>
          <w:rFonts w:ascii="Arial" w:cs="Arial" w:eastAsia="Arial" w:hAnsi="Arial"/>
          <w:sz w:val="22"/>
          <w:szCs w:val="22"/>
        </w:rPr>
        <w:t xml:space="preserve">Implement the member invite token system (3 per approved member).</w:t>
      </w:r>
    </w:p>
    <w:p>
      <w:pPr>
        <w:pStyle w:val="ListParagraph"/>
        <w:numPr>
          <w:ilvl w:val="0"/>
          <w:numId w:val="3"/>
        </w:numPr>
        <w:spacing w:after="60" w:before="60"/>
      </w:pPr>
      <w:r>
        <w:rPr>
          <w:rFonts w:ascii="Arial" w:cs="Arial" w:eastAsia="Arial" w:hAnsi="Arial"/>
          <w:sz w:val="22"/>
          <w:szCs w:val="22"/>
        </w:rPr>
        <w:t xml:space="preserve">Define and instrument your North Star metric (e.g., 'career actions per member per month': referrals, job applications, peer introductions).</w:t>
      </w:r>
    </w:p>
    <w:p>
      <w:pPr>
        <w:spacing w:after="0" w:before="60"/>
      </w:pPr>
      <w:r>
        <w:t xml:space="preserve"/>
      </w:r>
    </w:p>
    <w:p>
      <w:pPr>
        <w:pStyle w:val="Heading2"/>
        <w:spacing w:after="100" w:before="280"/>
      </w:pPr>
      <w:r>
        <w:rPr>
          <w:rFonts w:ascii="Arial" w:cs="Arial" w:eastAsia="Arial" w:hAnsi="Arial"/>
          <w:b/>
          <w:bCs/>
          <w:color w:val="374151"/>
          <w:sz w:val="28"/>
          <w:szCs w:val="28"/>
        </w:rPr>
        <w:t xml:space="preserve">8.3 Next Quarter</w:t>
      </w:r>
    </w:p>
    <w:p>
      <w:pPr>
        <w:spacing w:after="0" w:before="40"/>
      </w:pPr>
      <w:r>
        <w:t xml:space="preserve"/>
      </w:r>
    </w:p>
    <w:p>
      <w:pPr>
        <w:pStyle w:val="ListParagraph"/>
        <w:numPr>
          <w:ilvl w:val="0"/>
          <w:numId w:val="3"/>
        </w:numPr>
        <w:spacing w:after="60" w:before="60"/>
      </w:pPr>
      <w:r>
        <w:rPr>
          <w:rFonts w:ascii="Arial" w:cs="Arial" w:eastAsia="Arial" w:hAnsi="Arial"/>
          <w:sz w:val="22"/>
          <w:szCs w:val="22"/>
        </w:rPr>
        <w:t xml:space="preserve">Design and publish the first 'State of Careers in India' report — aggregated, anonymous data from community members. This is your organic growth and credibility engine.</w:t>
      </w:r>
    </w:p>
    <w:p>
      <w:pPr>
        <w:pStyle w:val="ListParagraph"/>
        <w:numPr>
          <w:ilvl w:val="0"/>
          <w:numId w:val="3"/>
        </w:numPr>
        <w:spacing w:after="60" w:before="60"/>
      </w:pPr>
      <w:r>
        <w:rPr>
          <w:rFonts w:ascii="Arial" w:cs="Arial" w:eastAsia="Arial" w:hAnsi="Arial"/>
          <w:sz w:val="22"/>
          <w:szCs w:val="22"/>
        </w:rPr>
        <w:t xml:space="preserve">Build the employer job posting product: companies pay to post a job directly to one or more verified groups. Model: per post (Rs 5,000–15,000 per job to a group) or monthly subscription for high-volume hirers. Supply side (members) stays free. Demand side (employers) pays. This is the Naukri model inverted — instead of volume, sell precision.</w:t>
      </w:r>
    </w:p>
    <w:p>
      <w:pPr>
        <w:pStyle w:val="ListParagraph"/>
        <w:numPr>
          <w:ilvl w:val="0"/>
          <w:numId w:val="3"/>
        </w:numPr>
        <w:spacing w:after="60" w:before="60"/>
      </w:pPr>
      <w:r>
        <w:rPr>
          <w:rFonts w:ascii="Arial" w:cs="Arial" w:eastAsia="Arial" w:hAnsi="Arial"/>
          <w:sz w:val="22"/>
          <w:szCs w:val="22"/>
        </w:rPr>
        <w:t xml:space="preserve">Run first IRL community event per city (start with Bangalore and Mumbai). 50 verified members, practitioner speaker, no sponsors cluttering the brand.</w:t>
      </w:r>
    </w:p>
    <w:p>
      <w:pPr>
        <w:spacing w:after="0" w:before="120"/>
      </w:pPr>
      <w:r>
        <w:t xml:space="preserve"/>
      </w:r>
    </w:p>
    <w:p>
      <w:pPr>
        <w:pageBreakBefore/>
      </w:pPr>
      <w:r>
        <w:t xml:space="preserve"/>
      </w:r>
    </w:p>
    <w:p>
      <w:pPr>
        <w:pStyle w:val="Heading1"/>
        <w:pBdr>
          <w:bottom w:val="single" w:color="064E3B" w:sz="12"/>
        </w:pBdr>
        <w:spacing w:after="120" w:before="360"/>
      </w:pPr>
      <w:r>
        <w:rPr>
          <w:rFonts w:ascii="Arial" w:cs="Arial" w:eastAsia="Arial" w:hAnsi="Arial"/>
          <w:b/>
          <w:bCs/>
          <w:color w:val="064E3B"/>
          <w:sz w:val="36"/>
          <w:szCs w:val="36"/>
        </w:rPr>
        <w:t xml:space="preserve">9. The Bet</w:t>
      </w:r>
    </w:p>
    <w:p>
      <w:pPr>
        <w:spacing w:after="0" w:before="40"/>
      </w:pPr>
      <w:r>
        <w:t xml:space="preserve"/>
      </w:r>
    </w:p>
    <w:p>
      <w:pPr>
        <w:spacing w:after="100" w:before="60"/>
      </w:pPr>
      <w:r>
        <w:rPr>
          <w:rFonts w:ascii="Arial" w:cs="Arial" w:eastAsia="Arial" w:hAnsi="Arial"/>
          <w:color w:val="1A1A1A"/>
          <w:sz w:val="22"/>
          <w:szCs w:val="22"/>
        </w:rPr>
        <w:t xml:space="preserve">The entire professional networking market is built on the assumption that more connections equal more value. LinkedIn has 1 billion connections and has produced a culture where no one trusts anything they read on the platform.</w:t>
      </w:r>
    </w:p>
    <w:p>
      <w:pPr>
        <w:spacing w:after="0" w:before="40"/>
      </w:pPr>
      <w:r>
        <w:t xml:space="preserve"/>
      </w:r>
    </w:p>
    <w:p>
      <w:pPr>
        <w:spacing w:after="100" w:before="60"/>
      </w:pPr>
      <w:r>
        <w:rPr>
          <w:rFonts w:ascii="Arial" w:cs="Arial" w:eastAsia="Arial" w:hAnsi="Arial"/>
          <w:color w:val="1A1A1A"/>
          <w:sz w:val="22"/>
          <w:szCs w:val="22"/>
        </w:rPr>
        <w:t xml:space="preserve">Mentor's bet is the opposite: fewer connections, higher trust, real outcomes. Every product decision should be tested against this question: does this increase trust or does it increase noise?</w:t>
      </w:r>
    </w:p>
    <w:p>
      <w:pPr>
        <w:spacing w:after="0" w:before="40"/>
      </w:pPr>
      <w:r>
        <w:t xml:space="preserve"/>
      </w:r>
    </w:p>
    <w:p>
      <w:pPr>
        <w:spacing w:after="100" w:before="60"/>
      </w:pPr>
      <w:r>
        <w:rPr>
          <w:rFonts w:ascii="Arial" w:cs="Arial" w:eastAsia="Arial" w:hAnsi="Arial"/>
          <w:color w:val="1A1A1A"/>
          <w:sz w:val="22"/>
          <w:szCs w:val="22"/>
        </w:rPr>
        <w:t xml:space="preserve">The platforms that win in the next decade will not be the ones with the most users. They will be the ones with the most trusted users. That is the race Mentor should be running.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4E3B" w:val="clear"/>
            <w:tcMar>
              <w:top w:type="dxa" w:w="280"/>
              <w:left w:type="dxa" w:w="480"/>
              <w:bottom w:type="dxa" w:w="280"/>
              <w:right w:type="dxa" w:w="480"/>
            </w:tcMar>
          </w:tcPr>
          <w:p>
            <w:pPr>
              <w:jc w:val="center"/>
            </w:pPr>
            <w:r>
              <w:rPr>
                <w:rFonts w:ascii="Arial" w:cs="Arial" w:eastAsia="Arial" w:hAnsi="Arial"/>
                <w:b/>
                <w:bCs/>
                <w:color w:val="FFFFFF"/>
                <w:sz w:val="30"/>
                <w:szCs w:val="30"/>
              </w:rPr>
              <w:t xml:space="preserve">Trust is the product. Everything else is a feature.</w:t>
            </w:r>
          </w:p>
        </w:tc>
      </w:tr>
    </w:tbl>
    <w:p>
      <w:pPr>
        <w:spacing w:after="0" w:before="200"/>
      </w:pPr>
      <w:r>
        <w:t xml:space="preserve"/>
      </w:r>
    </w:p>
    <w:p>
      <w:pPr>
        <w:spacing w:after="100" w:before="60"/>
      </w:pPr>
      <w:r>
        <w:rPr>
          <w:rFonts w:ascii="Arial" w:cs="Arial" w:eastAsia="Arial" w:hAnsi="Arial"/>
          <w:i/>
          <w:iCs/>
          <w:color w:val="6B7280"/>
          <w:sz w:val="22"/>
          <w:szCs w:val="22"/>
        </w:rPr>
        <w:t xml:space="preserve">Prepared for Mentor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4E3B" w:sz="8"/>
      </w:pBdr>
      <w:tabs>
        <w:tab w:val="right" w:pos="9360"/>
      </w:tabs>
    </w:pPr>
    <w:r>
      <w:rPr>
        <w:rFonts w:ascii="Arial" w:cs="Arial" w:eastAsia="Arial" w:hAnsi="Arial"/>
        <w:b/>
        <w:bCs/>
        <w:color w:val="064E3B"/>
        <w:sz w:val="18"/>
        <w:szCs w:val="18"/>
      </w:rPr>
      <w:t xml:space="preserve">MENTOR — CONFIDENTIAL STRATEGIC BRIEF</w:t>
    </w:r>
    <w:r>
      <w:rPr>
        <w:rFonts w:ascii="Arial" w:cs="Arial" w:eastAsia="Arial" w:hAnsi="Arial"/>
      </w:rPr>
      <w:t xml:space="preserve">	</w:t>
    </w:r>
    <w:r>
      <w:rPr>
        <w:rFonts w:ascii="Arial" w:cs="Arial" w:eastAsia="Arial" w:hAnsi="Arial"/>
        <w:color w:val="6B7280"/>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64E3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37415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65F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2026-04-09T08:58:54.025Z</dcterms:created>
  <dcterms:modified xsi:type="dcterms:W3CDTF">2026-04-09T08:58:54.025Z</dcterms:modified>
</cp:coreProperties>
</file>

<file path=docProps/custom.xml><?xml version="1.0" encoding="utf-8"?>
<Properties xmlns="http://schemas.openxmlformats.org/officeDocument/2006/custom-properties" xmlns:vt="http://schemas.openxmlformats.org/officeDocument/2006/docPropsVTypes"/>
</file>