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Arial" w:cs="Arial" w:eastAsia="Arial" w:hAnsi="Arial"/>
          <w:b/>
          <w:bCs/>
          <w:color w:val="064E3B"/>
          <w:sz w:val="72"/>
          <w:szCs w:val="72"/>
        </w:rPr>
        <w:t xml:space="preserve">MENTOR</w:t>
      </w:r>
    </w:p>
    <w:p>
      <w:pPr>
        <w:pBdr>
          <w:bottom w:val="single" w:color="B45309" w:sz="12"/>
        </w:pBdr>
        <w:spacing w:after="80" w:before="0"/>
      </w:pPr>
      <w:r>
        <w:rPr>
          <w:rFonts w:ascii="Arial" w:cs="Arial" w:eastAsia="Arial" w:hAnsi="Arial"/>
          <w:i/>
          <w:iCs/>
          <w:color w:val="374151"/>
          <w:sz w:val="32"/>
          <w:szCs w:val="32"/>
        </w:rPr>
        <w:t xml:space="preserve">Competitive Landscape &amp; Strategic Positioning Brief</w:t>
      </w:r>
    </w:p>
    <w:p>
      <w:pPr>
        <w:spacing w:after="0" w:before="200"/>
      </w:pPr>
      <w:r>
        <w:t xml:space="preserve"/>
      </w:r>
    </w:p>
    <w:p>
      <w:pPr>
        <w:spacing w:after="120" w:before="80"/>
      </w:pPr>
      <w:r>
        <w:rPr>
          <w:rFonts w:ascii="Arial" w:cs="Arial" w:eastAsia="Arial" w:hAnsi="Arial"/>
          <w:i/>
          <w:iCs/>
          <w:color w:val="374151"/>
          <w:sz w:val="24"/>
          <w:szCs w:val="24"/>
        </w:rPr>
        <w:t xml:space="preserve">Who is building for overachievers — and why none of them are doing it right.</w:t>
      </w:r>
    </w:p>
    <w:p>
      <w:pPr>
        <w:spacing w:after="0" w:before="600"/>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Executive Summary</w:t>
      </w:r>
    </w:p>
    <w:p>
      <w:pPr>
        <w:spacing w:after="100" w:before="60"/>
      </w:pPr>
      <w:r>
        <w:rPr>
          <w:rFonts w:ascii="Arial" w:cs="Arial" w:eastAsia="Arial" w:hAnsi="Arial"/>
          <w:color w:val="1A1A1A"/>
          <w:sz w:val="22"/>
          <w:szCs w:val="22"/>
        </w:rPr>
        <w:t xml:space="preserve">The professional community space is paradoxically wide open. LinkedIn has 1 billion users and almost zero trust. Reforge charges $2,000/year and turns away more people than it admits. Blind is anonymous and toxic. Levels.fyi is useful but cold. Every Indian platform has defaulted to a job board with a thin social layer.</w:t>
      </w:r>
    </w:p>
    <w:p>
      <w:pPr>
        <w:spacing w:after="0" w:before="40"/>
      </w:pPr>
      <w:r>
        <w:t xml:space="preserve"/>
      </w:r>
    </w:p>
    <w:p>
      <w:pPr>
        <w:spacing w:after="100" w:before="60"/>
      </w:pPr>
      <w:r>
        <w:rPr>
          <w:rFonts w:ascii="Arial" w:cs="Arial" w:eastAsia="Arial" w:hAnsi="Arial"/>
          <w:color w:val="1A1A1A"/>
          <w:sz w:val="22"/>
          <w:szCs w:val="22"/>
        </w:rPr>
        <w:t xml:space="preserve">The gap Mentor can own is specific: a verified, role-specific community for ambitious professionals in India who are sick of performative networking and want real peers, real referrals, and real career acceleration. Not a LinkedIn clone. Not a course platform. Not a data aggregator. A community that makes you feel like you finally found your people — and your people happen to get you jobs, introductions, and promotions.</w:t>
      </w:r>
    </w:p>
    <w:p>
      <w:pPr>
        <w:spacing w:after="0" w:before="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B45309"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KEY INSIGHT</w:t>
            </w:r>
          </w:p>
        </w:tc>
        <w:tc>
          <w:tcPr>
            <w:tcW w:type="dxa" w:w="8560"/>
            <w:tcBorders>
              <w:top w:val="none" w:color="FFFFFF" w:sz="0"/>
              <w:left w:val="none" w:color="FFFFFF" w:sz="0"/>
              <w:bottom w:val="none" w:color="FFFFFF" w:sz="0"/>
              <w:right w:val="none" w:color="FFFFFF" w:sz="0"/>
            </w:tcBorders>
            <w:shd w:fill="FEF3C7" w:val="clear"/>
            <w:tcMar>
              <w:top w:type="dxa" w:w="120"/>
              <w:left w:type="dxa" w:w="200"/>
              <w:bottom w:type="dxa" w:w="120"/>
              <w:right w:type="dxa" w:w="160"/>
            </w:tcMar>
          </w:tcPr>
          <w:p>
            <w:r>
              <w:rPr>
                <w:rFonts w:ascii="Arial" w:cs="Arial" w:eastAsia="Arial" w:hAnsi="Arial"/>
                <w:color w:val="1A1A1A"/>
                <w:sz w:val="22"/>
                <w:szCs w:val="22"/>
              </w:rPr>
              <w:t xml:space="preserve">The scarcest resource for an overachiever is not information or opportunity — it is trust. Every competitor sacrifices trust for scale. Mentor wins by doing the opposite.</w:t>
            </w:r>
          </w:p>
        </w:tc>
      </w:tr>
    </w:tbl>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1. Competitor Landscape</w:t>
      </w:r>
    </w:p>
    <w:p>
      <w:pPr>
        <w:spacing w:after="120" w:before="80"/>
      </w:pPr>
      <w:r>
        <w:rPr>
          <w:rFonts w:ascii="Arial" w:cs="Arial" w:eastAsia="Arial" w:hAnsi="Arial"/>
          <w:i/>
          <w:iCs/>
          <w:color w:val="374151"/>
          <w:sz w:val="24"/>
          <w:szCs w:val="24"/>
        </w:rPr>
        <w:t xml:space="preserve">A full map of who is operating in this space, what they are doing well, and where they break.</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1.1 Global Platforms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1680"/>
        <w:gridCol w:w="1680"/>
      </w:tblGrid>
      <w:tr>
        <w:trPr>
          <w:tblHeader/>
        </w:trPr>
        <w:tc>
          <w:tcPr>
            <w:tcW w:type="dxa" w:w="160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Platform</w:t>
            </w:r>
          </w:p>
        </w:tc>
        <w:tc>
          <w:tcPr>
            <w:tcW w:type="dxa" w:w="220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What Works</w:t>
            </w:r>
          </w:p>
        </w:tc>
        <w:tc>
          <w:tcPr>
            <w:tcW w:type="dxa" w:w="220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What Fails</w:t>
            </w:r>
          </w:p>
        </w:tc>
        <w:tc>
          <w:tcPr>
            <w:tcW w:type="dxa" w:w="168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Threat Level</w:t>
            </w:r>
          </w:p>
        </w:tc>
        <w:tc>
          <w:tcPr>
            <w:tcW w:type="dxa" w:w="168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Mentor Angle</w:t>
            </w:r>
          </w:p>
        </w:tc>
      </w:tr>
      <w:tr>
        <w:tc>
          <w:tcPr>
            <w:tcW w:type="dxa" w:w="16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LinkedIn</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Scale (1B users), network effect, recruiter tooling, universal recognition</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Performative culture, algorithmic noise, 1/3 of profiles have fabricated credentials, humblebrags dominate, zero community feel</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91B1B"/>
                <w:sz w:val="20"/>
                <w:szCs w:val="20"/>
              </w:rPr>
              <w:t xml:space="preserve">HIGH — distribution moat, not product moat</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Trust over scale. Mentor is where people go after LinkedIn disappoints them.</w:t>
            </w:r>
          </w:p>
        </w:tc>
      </w:tr>
      <w:tr>
        <w:tc>
          <w:tcPr>
            <w:tcW w:type="dxa" w:w="16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Reforge</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Extreme vetting, practitioner-led content, cohort community (200-400 senior ICs), NPS 70+, 80% completion rate, premium pricing validated</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US-centric, $2,000/yr, only serves PMs/Growth/Engineers at senior level, no Indian market presence</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374151"/>
                <w:sz w:val="20"/>
                <w:szCs w:val="20"/>
              </w:rPr>
              <w:t xml:space="preserve">LOW — model to copy, not compete with</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Apply Reforge's gating philosophy to Indian professionals at accessible price</w:t>
            </w:r>
          </w:p>
        </w:tc>
      </w:tr>
      <w:tr>
        <w:tc>
          <w:tcPr>
            <w:tcW w:type="dxa" w:w="16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Pavilion</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60+ learning programs, local chapters (20 cities), role-specific GTM tracks, clear ROI for revenue leaders</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Expensive ($1,000-5,000/yr), US GTM focus, not relevant to Indian roles yet</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LOW</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Model for role-specific tracks and local chapter expansion</w:t>
            </w:r>
          </w:p>
        </w:tc>
      </w:tr>
      <w:tr>
        <w:tc>
          <w:tcPr>
            <w:tcW w:type="dxa" w:w="16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On Deck</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Founder/operator brand, 'safe space between moves', strong cohort bonds, high trust among alumni</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Lost direction post-2022, expensive, too US-VC-centric, unclear value for non-founders</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374151"/>
                <w:sz w:val="20"/>
                <w:szCs w:val="20"/>
              </w:rPr>
              <w:t xml:space="preserve">LOW</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Emotional positioning ('safe space') worth borrowing for Mentor's language</w:t>
            </w:r>
          </w:p>
        </w:tc>
      </w:tr>
      <w:tr>
        <w:tc>
          <w:tcPr>
            <w:tcW w:type="dxa" w:w="16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Blind</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Anonymous = brutal honesty, very high engagement on comp/interview topics, addictive</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Toxic culture, demoralising, no accountability, dominated by paranoia and negativity, reputation damage</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2400E"/>
                <w:sz w:val="20"/>
                <w:szCs w:val="20"/>
              </w:rPr>
              <w:t xml:space="preserve">MED — captures frustration but poisons it</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Mentor is the antidote to Blind: real identity, real accountability, real community</w:t>
            </w:r>
          </w:p>
        </w:tc>
      </w:tr>
      <w:tr>
        <w:tc>
          <w:tcPr>
            <w:tcW w:type="dxa" w:w="16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Fishbowl</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Role-based bowls, optional anonymity, less toxic than Blind, good for consulting/finance</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Thin in India, US-centric, product feels dated, low stickiness outside specific conversations</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374151"/>
                <w:sz w:val="20"/>
                <w:szCs w:val="20"/>
              </w:rPr>
              <w:t xml:space="preserve">LOW</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Prove that identity-based beats anonymous for career growth</w:t>
            </w:r>
          </w:p>
        </w:tc>
      </w:tr>
      <w:tr>
        <w:tc>
          <w:tcPr>
            <w:tcW w:type="dxa" w:w="16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Levels.fyi</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High-trust comp data, specific + verifiable numbers, indispensable for candidates, clean UX</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Zero community, pure utility, no personalisation, no career guidance layer</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2400E"/>
                <w:sz w:val="20"/>
                <w:szCs w:val="20"/>
              </w:rPr>
              <w:t xml:space="preserve">MED — trust benchmark to match on data</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Add the community layer Levels.fyi deliberately avoided</w:t>
            </w:r>
          </w:p>
        </w:tc>
      </w:tr>
      <w:tr>
        <w:tc>
          <w:tcPr>
            <w:tcW w:type="dxa" w:w="16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Geneva</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Rooms/homes architecture, Bumble-acquired, good for creator communities, mobile-first</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No professional verification, consumer social feel, not career-focused, thin in India</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374151"/>
                <w:sz w:val="20"/>
                <w:szCs w:val="20"/>
              </w:rPr>
              <w:t xml:space="preserve">LOW</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UI architecture worth studying — channel metaphor maps well to Mentor groups</w:t>
            </w:r>
          </w:p>
        </w:tc>
      </w:tr>
    </w:tbl>
    <w:p>
      <w:pPr>
        <w:spacing w:after="0" w:before="120"/>
      </w:pPr>
      <w:r>
        <w:t xml:space="preserve"/>
      </w:r>
    </w:p>
    <w:p>
      <w:pPr>
        <w:pStyle w:val="Heading2"/>
        <w:spacing w:after="100" w:before="280"/>
      </w:pPr>
      <w:r>
        <w:rPr>
          <w:rFonts w:ascii="Arial" w:cs="Arial" w:eastAsia="Arial" w:hAnsi="Arial"/>
          <w:b/>
          <w:bCs/>
          <w:color w:val="374151"/>
          <w:sz w:val="28"/>
          <w:szCs w:val="28"/>
        </w:rPr>
        <w:t xml:space="preserve">1.2 Indian Platforms</w:t>
      </w:r>
    </w:p>
    <w:p>
      <w:pPr>
        <w:spacing w:after="0" w:before="40"/>
      </w:pPr>
      <w:r>
        <w:t xml:space="preserve"/>
      </w:r>
    </w:p>
    <w:p>
      <w:pPr>
        <w:spacing w:after="100" w:before="60"/>
      </w:pPr>
      <w:r>
        <w:rPr>
          <w:rFonts w:ascii="Arial" w:cs="Arial" w:eastAsia="Arial" w:hAnsi="Arial"/>
          <w:color w:val="1A1A1A"/>
          <w:sz w:val="22"/>
          <w:szCs w:val="22"/>
        </w:rPr>
        <w:t xml:space="preserve">The Indian market is dramatically underserved at the premium end. No platform has cracked verified professional community.</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1680"/>
        <w:gridCol w:w="1680"/>
      </w:tblGrid>
      <w:tr>
        <w:trPr>
          <w:tblHeader/>
        </w:trPr>
        <w:tc>
          <w:tcPr>
            <w:tcW w:type="dxa" w:w="160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Platform</w:t>
            </w:r>
          </w:p>
        </w:tc>
        <w:tc>
          <w:tcPr>
            <w:tcW w:type="dxa" w:w="220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What Works</w:t>
            </w:r>
          </w:p>
        </w:tc>
        <w:tc>
          <w:tcPr>
            <w:tcW w:type="dxa" w:w="220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What Fails</w:t>
            </w:r>
          </w:p>
        </w:tc>
        <w:tc>
          <w:tcPr>
            <w:tcW w:type="dxa" w:w="168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Threat Level</w:t>
            </w:r>
          </w:p>
        </w:tc>
        <w:tc>
          <w:tcPr>
            <w:tcW w:type="dxa" w:w="1680"/>
            <w:tcBorders>
              <w:top w:val="single" w:color="064E3B" w:sz="4"/>
              <w:left w:val="single" w:color="064E3B" w:sz="4"/>
              <w:bottom w:val="single" w:color="064E3B" w:sz="4"/>
              <w:right w:val="single" w:color="064E3B" w:sz="4"/>
            </w:tcBorders>
            <w:shd w:fill="064E3B" w:val="clear"/>
            <w:tcMar>
              <w:top w:type="dxa" w:w="100"/>
              <w:left w:type="dxa" w:w="120"/>
              <w:bottom w:type="dxa" w:w="100"/>
              <w:right w:type="dxa" w:w="120"/>
            </w:tcMar>
          </w:tcPr>
          <w:p>
            <w:r>
              <w:rPr>
                <w:rFonts w:ascii="Arial" w:cs="Arial" w:eastAsia="Arial" w:hAnsi="Arial"/>
                <w:b/>
                <w:bCs/>
                <w:color w:val="FFFFFF"/>
                <w:sz w:val="20"/>
                <w:szCs w:val="20"/>
              </w:rPr>
              <w:t xml:space="preserve">Mentor Angle</w:t>
            </w:r>
          </w:p>
        </w:tc>
      </w:tr>
      <w:tr>
        <w:tc>
          <w:tcPr>
            <w:tcW w:type="dxa" w:w="16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Naukri / iimjobs</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Distribution scale in India, iimjobs has premium MBA angle, AmbitionBox has real salary data</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Job board DNA — community is an afterthought, UI stuck in 2015, spammy recruiter culture, zero curation</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91B1B"/>
                <w:sz w:val="20"/>
                <w:szCs w:val="20"/>
              </w:rPr>
              <w:t xml:space="preserve">HIGH — on distribution, LOW — on product quality</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Mentor is what these should have built but didn't have the conviction to</w:t>
            </w:r>
          </w:p>
        </w:tc>
      </w:tr>
      <w:tr>
        <w:tc>
          <w:tcPr>
            <w:tcW w:type="dxa" w:w="16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Cutshort / Instahyre</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Engineering role niche, skill-based matching, cleaner than Naukri</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Engineering-only, no community, thin on senior roles, no content or learning layer</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92400E"/>
                <w:sz w:val="20"/>
                <w:szCs w:val="20"/>
              </w:rPr>
              <w:t xml:space="preserve">MED</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Show that non-engineering roles deserve the same quality experience</w:t>
            </w:r>
          </w:p>
        </w:tc>
      </w:tr>
      <w:tr>
        <w:tc>
          <w:tcPr>
            <w:tcW w:type="dxa" w:w="16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LinkedIn India</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Same LinkedIn, localised feed, India content growing fast</w:t>
            </w:r>
          </w:p>
        </w:tc>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Same LinkedIn problems amplified — even more performative in Indian professional culture</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91B1B"/>
                <w:sz w:val="20"/>
                <w:szCs w:val="20"/>
              </w:rPr>
              <w:t xml:space="preserve">HIGH — mindshare only</w:t>
            </w:r>
          </w:p>
        </w:tc>
        <w:tc>
          <w:tcPr>
            <w:tcW w:type="dxa" w:w="1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Be the honest, unperformative alternative Indians actually want</w:t>
            </w:r>
          </w:p>
        </w:tc>
      </w:tr>
      <w:tr>
        <w:tc>
          <w:tcPr>
            <w:tcW w:type="dxa" w:w="16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Pesto / Turing</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Remote US jobs for Indian engineers, income arbitrage positioning</w:t>
            </w:r>
          </w:p>
        </w:tc>
        <w:tc>
          <w:tcPr>
            <w:tcW w:type="dxa" w:w="2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Purely transactional, no community, not relevant to non-engineers</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374151"/>
                <w:sz w:val="20"/>
                <w:szCs w:val="20"/>
              </w:rPr>
              <w:t xml:space="preserve">LOW</w:t>
            </w:r>
          </w:p>
        </w:tc>
        <w:tc>
          <w:tcPr>
            <w:tcW w:type="dxa" w:w="168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Not a community competitor</w:t>
            </w:r>
          </w:p>
        </w:tc>
      </w:tr>
    </w:tbl>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2. What Works Across the Market — and What Doesn't</w:t>
      </w:r>
    </w:p>
    <w:p>
      <w:pPr>
        <w:spacing w:after="120" w:before="80"/>
      </w:pPr>
      <w:r>
        <w:rPr>
          <w:rFonts w:ascii="Arial" w:cs="Arial" w:eastAsia="Arial" w:hAnsi="Arial"/>
          <w:i/>
          <w:iCs/>
          <w:color w:val="374151"/>
          <w:sz w:val="24"/>
          <w:szCs w:val="24"/>
        </w:rPr>
        <w:t xml:space="preserve">Distilled patterns from platforms that are succeeding and those that are losing users.</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2.1 What Actually Works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E5E7EB" w:sz="4"/>
              <w:left w:val="single" w:color="E5E7EB" w:sz="4"/>
              <w:bottom w:val="single" w:color="E5E7EB" w:sz="4"/>
              <w:right w:val="single" w:color="E5E7EB" w:sz="4"/>
            </w:tcBorders>
            <w:shd w:fill="064E3B" w:val="clear"/>
            <w:tcMar>
              <w:top w:type="dxa" w:w="100"/>
              <w:left w:type="dxa" w:w="160"/>
              <w:bottom w:type="dxa" w:w="100"/>
              <w:right w:type="dxa" w:w="160"/>
            </w:tcMar>
          </w:tcPr>
          <w:p>
            <w:pPr>
              <w:jc w:val="center"/>
            </w:pPr>
            <w:r>
              <w:rPr>
                <w:rFonts w:ascii="Arial" w:cs="Arial" w:eastAsia="Arial" w:hAnsi="Arial"/>
                <w:b/>
                <w:bCs/>
                <w:color w:val="FFFFFF"/>
                <w:sz w:val="22"/>
                <w:szCs w:val="22"/>
              </w:rPr>
              <w:t xml:space="preserve">PROVEN — WORKS</w:t>
            </w:r>
          </w:p>
        </w:tc>
        <w:tc>
          <w:tcPr>
            <w:tcW w:type="dxa" w:w="4680"/>
            <w:tcBorders>
              <w:top w:val="single" w:color="E5E7EB" w:sz="4"/>
              <w:left w:val="single" w:color="E5E7EB" w:sz="4"/>
              <w:bottom w:val="single" w:color="E5E7EB" w:sz="4"/>
              <w:right w:val="single" w:color="E5E7EB" w:sz="4"/>
            </w:tcBorders>
            <w:shd w:fill="991B1B" w:val="clear"/>
            <w:tcMar>
              <w:top w:type="dxa" w:w="100"/>
              <w:left w:type="dxa" w:w="160"/>
              <w:bottom w:type="dxa" w:w="100"/>
              <w:right w:type="dxa" w:w="160"/>
            </w:tcMar>
          </w:tcPr>
          <w:p>
            <w:pPr>
              <w:jc w:val="center"/>
            </w:pPr>
            <w:r>
              <w:rPr>
                <w:rFonts w:ascii="Arial" w:cs="Arial" w:eastAsia="Arial" w:hAnsi="Arial"/>
                <w:b/>
                <w:bCs/>
                <w:color w:val="FFFFFF"/>
                <w:sz w:val="22"/>
                <w:szCs w:val="22"/>
              </w:rPr>
              <w:t xml:space="preserve">BROKEN — CONSISTENTLY FAILS</w:t>
            </w:r>
          </w:p>
        </w:tc>
      </w:tr>
      <w:tr>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Gating and verification. Reforge's NPS is above 70 because members know everyone around them is real. Trust scales with exclusivity.</w:t>
            </w:r>
          </w:p>
        </w:tc>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Open platforms. LinkedIn, Facebook Groups, Slack workspaces — all become noisy the moment you remove friction.</w:t>
            </w:r>
          </w:p>
        </w:tc>
      </w:tr>
      <w:tr>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Role specificity. Pavilion for GTM. Fishbowl for consulting. The narrower the community, the more relevant every post is.</w:t>
            </w:r>
          </w:p>
        </w:tc>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Cross-role mixing. Professionals don't want advice from someone in a different function. Specificity = relevance = engagement.</w:t>
            </w:r>
          </w:p>
        </w:tc>
      </w:tr>
      <w:tr>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Practitioner-led. The Reforge insight: active Spotify/Airbnb PMs teaching is more credible than any external educator.</w:t>
            </w:r>
          </w:p>
        </w:tc>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Aspirational-only content. Case studies from companies you'll never join are useless. Context needs to match your world.</w:t>
            </w:r>
          </w:p>
        </w:tc>
      </w:tr>
      <w:tr>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Verifiable data. Levels.fyi's trust comes from specificity — '$185k base at Google L5 in NYC'. Vague data is ignored.</w:t>
            </w:r>
          </w:p>
        </w:tc>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Performative content. LinkedIn posts with 50,000 likes are almost always hollow. Users know it. Engagement is theatre.</w:t>
            </w:r>
          </w:p>
        </w:tc>
      </w:tr>
      <w:tr>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Identity accountability. Real names, real profiles, real consequences for bad behaviour. Communities run better.</w:t>
            </w:r>
          </w:p>
        </w:tc>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Anonymity at scale. Works for 4chan. Fails for career communities. Toxicity and misinformation dominate.</w:t>
            </w:r>
          </w:p>
        </w:tc>
      </w:tr>
      <w:tr>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Local chapters / cohorts. Pavilion's 20 city chapters create IRL moments that make online bonds sticky.</w:t>
            </w:r>
          </w:p>
        </w:tc>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Purely digital with no IRL anchor. Without physical moments, communities feel transactional.</w:t>
            </w:r>
          </w:p>
        </w:tc>
      </w:tr>
      <w:tr>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Direct value signals. 'Got this job through Mentor'. 'This referral landed me an interview'. Outcomes &gt; engagement metrics.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Vanity metrics. Follower counts, likes, and reactions don't map to real career progress.</w:t>
            </w:r>
          </w:p>
        </w:tc>
      </w:tr>
    </w:tbl>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3. What to Cut from Mentor Right Now</w:t>
      </w:r>
    </w:p>
    <w:p>
      <w:pPr>
        <w:spacing w:after="120" w:before="80"/>
      </w:pPr>
      <w:r>
        <w:rPr>
          <w:rFonts w:ascii="Arial" w:cs="Arial" w:eastAsia="Arial" w:hAnsi="Arial"/>
          <w:i/>
          <w:iCs/>
          <w:color w:val="374151"/>
          <w:sz w:val="24"/>
          <w:szCs w:val="24"/>
        </w:rPr>
        <w:t xml:space="preserve">Everything on this list dilutes the core proposition or adds complexity without value at this stage.</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60"/>
      </w:tblGrid>
      <w:tr>
        <w:trPr>
          <w:tblHeader/>
        </w:trPr>
        <w:tc>
          <w:tcPr>
            <w:tcW w:type="dxa" w:w="4200"/>
            <w:tcBorders>
              <w:top w:val="single" w:color="374151" w:sz="4"/>
              <w:left w:val="single" w:color="374151" w:sz="4"/>
              <w:bottom w:val="single" w:color="374151" w:sz="4"/>
              <w:right w:val="single" w:color="374151" w:sz="4"/>
            </w:tcBorders>
            <w:shd w:fill="374151" w:val="clear"/>
            <w:tcMar>
              <w:top w:type="dxa" w:w="100"/>
              <w:left w:type="dxa" w:w="120"/>
              <w:bottom w:type="dxa" w:w="100"/>
              <w:right w:type="dxa" w:w="120"/>
            </w:tcMar>
          </w:tcPr>
          <w:p>
            <w:r>
              <w:rPr>
                <w:rFonts w:ascii="Arial" w:cs="Arial" w:eastAsia="Arial" w:hAnsi="Arial"/>
                <w:b/>
                <w:bCs/>
                <w:color w:val="FFFFFF"/>
                <w:sz w:val="20"/>
                <w:szCs w:val="20"/>
              </w:rPr>
              <w:t xml:space="preserve">What to Cut / Change</w:t>
            </w:r>
          </w:p>
        </w:tc>
        <w:tc>
          <w:tcPr>
            <w:tcW w:type="dxa" w:w="2400"/>
            <w:tcBorders>
              <w:top w:val="single" w:color="374151" w:sz="4"/>
              <w:left w:val="single" w:color="374151" w:sz="4"/>
              <w:bottom w:val="single" w:color="374151" w:sz="4"/>
              <w:right w:val="single" w:color="374151" w:sz="4"/>
            </w:tcBorders>
            <w:shd w:fill="374151" w:val="clear"/>
            <w:tcMar>
              <w:top w:type="dxa" w:w="100"/>
              <w:left w:type="dxa" w:w="120"/>
              <w:bottom w:type="dxa" w:w="100"/>
              <w:right w:type="dxa" w:w="120"/>
            </w:tcMar>
          </w:tcPr>
          <w:p>
            <w:r>
              <w:rPr>
                <w:rFonts w:ascii="Arial" w:cs="Arial" w:eastAsia="Arial" w:hAnsi="Arial"/>
                <w:b/>
                <w:bCs/>
                <w:color w:val="FFFFFF"/>
                <w:sz w:val="20"/>
                <w:szCs w:val="20"/>
              </w:rPr>
              <w:t xml:space="preserve">Priority</w:t>
            </w:r>
          </w:p>
        </w:tc>
        <w:tc>
          <w:tcPr>
            <w:tcW w:type="dxa" w:w="2760"/>
            <w:tcBorders>
              <w:top w:val="single" w:color="374151" w:sz="4"/>
              <w:left w:val="single" w:color="374151" w:sz="4"/>
              <w:bottom w:val="single" w:color="374151" w:sz="4"/>
              <w:right w:val="single" w:color="374151" w:sz="4"/>
            </w:tcBorders>
            <w:shd w:fill="374151" w:val="clear"/>
            <w:tcMar>
              <w:top w:type="dxa" w:w="100"/>
              <w:left w:type="dxa" w:w="120"/>
              <w:bottom w:type="dxa" w:w="100"/>
              <w:right w:type="dxa" w:w="120"/>
            </w:tcMar>
          </w:tcPr>
          <w:p>
            <w:r>
              <w:rPr>
                <w:rFonts w:ascii="Arial" w:cs="Arial" w:eastAsia="Arial" w:hAnsi="Arial"/>
                <w:b/>
                <w:bCs/>
                <w:color w:val="FFFFFF"/>
                <w:sz w:val="20"/>
                <w:szCs w:val="20"/>
              </w:rPr>
              <w:t xml:space="preserve">Why</w:t>
            </w:r>
          </w:p>
        </w:tc>
      </w:tr>
      <w:tr>
        <w:tc>
          <w:tcPr>
            <w:tcW w:type="dxa" w:w="4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public feed (open posts without group context)</w:t>
            </w:r>
          </w:p>
        </w:tc>
        <w:tc>
          <w:tcPr>
            <w:tcW w:type="dxa" w:w="24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91B1B"/>
                <w:sz w:val="20"/>
                <w:szCs w:val="20"/>
              </w:rPr>
              <w:t xml:space="preserve">CUT NOW</w:t>
            </w:r>
          </w:p>
        </w:tc>
        <w:tc>
          <w:tcPr>
            <w:tcW w:type="dxa" w:w="27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LinkedIn did this. It creates performative behaviour within 90 days. Every post must live inside a verified group channel.</w:t>
            </w:r>
          </w:p>
        </w:tc>
      </w:tr>
      <w:tr>
        <w:tc>
          <w:tcPr>
            <w:tcW w:type="dxa" w:w="4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Generic 'Post Update' — all post types mixed together</w:t>
            </w:r>
          </w:p>
        </w:tc>
        <w:tc>
          <w:tcPr>
            <w:tcW w:type="dxa" w:w="24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991B1B"/>
                <w:sz w:val="20"/>
                <w:szCs w:val="20"/>
              </w:rPr>
              <w:t xml:space="preserve">CUT NOW</w:t>
            </w:r>
          </w:p>
        </w:tc>
        <w:tc>
          <w:tcPr>
            <w:tcW w:type="dxa" w:w="276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Users need to know what they are reading: a job, a referral, a resource, a discussion. Unlabelled posts kill signal.</w:t>
            </w:r>
          </w:p>
        </w:tc>
      </w:tr>
      <w:tr>
        <w:tc>
          <w:tcPr>
            <w:tcW w:type="dxa" w:w="4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Job board tab as a standalone feature</w:t>
            </w:r>
          </w:p>
        </w:tc>
        <w:tc>
          <w:tcPr>
            <w:tcW w:type="dxa" w:w="24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2400E"/>
                <w:sz w:val="20"/>
                <w:szCs w:val="20"/>
              </w:rPr>
              <w:t xml:space="preserve">REDUCE</w:t>
            </w:r>
          </w:p>
        </w:tc>
        <w:tc>
          <w:tcPr>
            <w:tcW w:type="dxa" w:w="27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Jobs should live inside group Job Board channels, not as a separate section competing with Naukri. Context is everything.</w:t>
            </w:r>
          </w:p>
        </w:tc>
      </w:tr>
      <w:tr>
        <w:tc>
          <w:tcPr>
            <w:tcW w:type="dxa" w:w="4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'Connect' / friend-request mechanic</w:t>
            </w:r>
          </w:p>
        </w:tc>
        <w:tc>
          <w:tcPr>
            <w:tcW w:type="dxa" w:w="24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991B1B"/>
                <w:sz w:val="20"/>
                <w:szCs w:val="20"/>
              </w:rPr>
              <w:t xml:space="preserve">CUT NOW</w:t>
            </w:r>
          </w:p>
        </w:tc>
        <w:tc>
          <w:tcPr>
            <w:tcW w:type="dxa" w:w="276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This is LinkedIn behaviour and creates follower-count anxiety. Mentor does not have followers. You have group membership.</w:t>
            </w:r>
          </w:p>
        </w:tc>
      </w:tr>
      <w:tr>
        <w:tc>
          <w:tcPr>
            <w:tcW w:type="dxa" w:w="4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Notifications for likes and reactions</w:t>
            </w:r>
          </w:p>
        </w:tc>
        <w:tc>
          <w:tcPr>
            <w:tcW w:type="dxa" w:w="24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2400E"/>
                <w:sz w:val="20"/>
                <w:szCs w:val="20"/>
              </w:rPr>
              <w:t xml:space="preserve">REDUCE</w:t>
            </w:r>
          </w:p>
        </w:tc>
        <w:tc>
          <w:tcPr>
            <w:tcW w:type="dxa" w:w="27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Optimises for dopamine loops. Notify for: DMs, referral requests, application status, job opportunities. Nothing else.</w:t>
            </w:r>
          </w:p>
        </w:tc>
      </w:tr>
      <w:tr>
        <w:tc>
          <w:tcPr>
            <w:tcW w:type="dxa" w:w="4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Public profile pages visible without auth</w:t>
            </w:r>
          </w:p>
        </w:tc>
        <w:tc>
          <w:tcPr>
            <w:tcW w:type="dxa" w:w="24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991B1B"/>
                <w:sz w:val="20"/>
                <w:szCs w:val="20"/>
              </w:rPr>
              <w:t xml:space="preserve">CUT NOW</w:t>
            </w:r>
          </w:p>
        </w:tc>
        <w:tc>
          <w:tcPr>
            <w:tcW w:type="dxa" w:w="276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The gated experience IS the product. Letting anyone see profiles reduces the premium feel and kills the exclusivity angle.</w:t>
            </w:r>
          </w:p>
        </w:tc>
      </w:tr>
      <w:tr>
        <w:tc>
          <w:tcPr>
            <w:tcW w:type="dxa" w:w="4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'Experts' section as currently built</w:t>
            </w:r>
          </w:p>
        </w:tc>
        <w:tc>
          <w:tcPr>
            <w:tcW w:type="dxa" w:w="24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2400E"/>
                <w:sz w:val="20"/>
                <w:szCs w:val="20"/>
              </w:rPr>
              <w:t xml:space="preserve">REDUCE</w:t>
            </w:r>
          </w:p>
        </w:tc>
        <w:tc>
          <w:tcPr>
            <w:tcW w:type="dxa" w:w="27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If experts are not members of a verified group, they are just LinkedIn consultants with a new coat of paint. Tie expert status to group leadership.</w:t>
            </w:r>
          </w:p>
        </w:tc>
      </w:tr>
      <w:tr>
        <w:tc>
          <w:tcPr>
            <w:tcW w:type="dxa" w:w="4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Resume builder feature</w:t>
            </w:r>
          </w:p>
        </w:tc>
        <w:tc>
          <w:tcPr>
            <w:tcW w:type="dxa" w:w="24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991B1B"/>
                <w:sz w:val="20"/>
                <w:szCs w:val="20"/>
              </w:rPr>
              <w:t xml:space="preserve">CUT NOW</w:t>
            </w:r>
          </w:p>
        </w:tc>
        <w:tc>
          <w:tcPr>
            <w:tcW w:type="dxa" w:w="276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Not differentiated. There are 50 better tools. Mentor's differentiation is the community, not the tooling.</w:t>
            </w:r>
          </w:p>
        </w:tc>
      </w:tr>
      <w:tr>
        <w:tc>
          <w:tcPr>
            <w:tcW w:type="dxa" w:w="4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Mock interview as a standalone feature</w:t>
            </w:r>
          </w:p>
        </w:tc>
        <w:tc>
          <w:tcPr>
            <w:tcW w:type="dxa" w:w="24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92400E"/>
                <w:sz w:val="20"/>
                <w:szCs w:val="20"/>
              </w:rPr>
              <w:t xml:space="preserve">REDUCE</w:t>
            </w:r>
          </w:p>
        </w:tc>
        <w:tc>
          <w:tcPr>
            <w:tcW w:type="dxa" w:w="27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Only keep if it is run by verified community members (peer mock interviews). Third-party tools add nothing unique.</w:t>
            </w:r>
          </w:p>
        </w:tc>
      </w:tr>
      <w:tr>
        <w:tc>
          <w:tcPr>
            <w:tcW w:type="dxa" w:w="42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Salary tracker without verification layer</w:t>
            </w:r>
          </w:p>
        </w:tc>
        <w:tc>
          <w:tcPr>
            <w:tcW w:type="dxa" w:w="240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92400E"/>
                <w:sz w:val="20"/>
                <w:szCs w:val="20"/>
              </w:rPr>
              <w:t xml:space="preserve">REDUCE</w:t>
            </w:r>
          </w:p>
        </w:tc>
        <w:tc>
          <w:tcPr>
            <w:tcW w:type="dxa" w:w="2760"/>
            <w:tcBorders>
              <w:top w:val="single" w:color="E5E7EB" w:sz="4"/>
              <w:left w:val="single" w:color="E5E7EB" w:sz="4"/>
              <w:bottom w:val="single" w:color="E5E7EB" w:sz="4"/>
              <w:right w:val="single" w:color="E5E7EB" w:sz="4"/>
            </w:tcBorders>
            <w:shd w:fill="F0FDF4" w:val="clear"/>
            <w:tcMar>
              <w:top w:type="dxa" w:w="80"/>
              <w:left w:type="dxa" w:w="120"/>
              <w:bottom w:type="dxa" w:w="80"/>
              <w:right w:type="dxa" w:w="120"/>
            </w:tcMar>
          </w:tcPr>
          <w:p>
            <w:r>
              <w:rPr>
                <w:rFonts w:ascii="Arial" w:cs="Arial" w:eastAsia="Arial" w:hAnsi="Arial"/>
                <w:color w:val="1A1A1A"/>
                <w:sz w:val="20"/>
                <w:szCs w:val="20"/>
              </w:rPr>
              <w:t xml:space="preserve">Unverified salary data is noise. Either build a verification pipeline (like Levels.fyi) or remove it. Inaccurate data damages trust faster than no data.</w:t>
            </w:r>
          </w:p>
        </w:tc>
      </w:tr>
    </w:tbl>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4. Sharpening the USP</w:t>
      </w:r>
    </w:p>
    <w:p>
      <w:pPr>
        <w:spacing w:after="120" w:before="80"/>
      </w:pPr>
      <w:r>
        <w:rPr>
          <w:rFonts w:ascii="Arial" w:cs="Arial" w:eastAsia="Arial" w:hAnsi="Arial"/>
          <w:i/>
          <w:iCs/>
          <w:color w:val="374151"/>
          <w:sz w:val="24"/>
          <w:szCs w:val="24"/>
        </w:rPr>
        <w:t xml:space="preserve">The platform's purpose must be expressible in a single sentence that makes an overachiever feel seen.</w:t>
      </w:r>
    </w:p>
    <w:p>
      <w:pPr>
        <w:spacing w:after="0" w:before="80"/>
      </w:pPr>
      <w:r>
        <w:t xml:space="preserve"/>
      </w:r>
    </w:p>
    <w:p>
      <w:pPr>
        <w:pStyle w:val="Heading2"/>
        <w:spacing w:after="100" w:before="280"/>
      </w:pPr>
      <w:r>
        <w:rPr>
          <w:rFonts w:ascii="Arial" w:cs="Arial" w:eastAsia="Arial" w:hAnsi="Arial"/>
          <w:b/>
          <w:bCs/>
          <w:color w:val="374151"/>
          <w:sz w:val="28"/>
          <w:szCs w:val="28"/>
        </w:rPr>
        <w:t xml:space="preserve">4.1 The Positioning Statement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64E3B" w:val="clear"/>
            <w:tcMar>
              <w:top w:type="dxa" w:w="360"/>
              <w:left w:type="dxa" w:w="480"/>
              <w:bottom w:type="dxa" w:w="360"/>
              <w:right w:type="dxa" w:w="480"/>
            </w:tcMar>
          </w:tcPr>
          <w:p>
            <w:pPr>
              <w:jc w:val="center"/>
            </w:pPr>
            <w:r>
              <w:rPr>
                <w:rFonts w:ascii="Arial" w:cs="Arial" w:eastAsia="Arial" w:hAnsi="Arial"/>
                <w:i/>
                <w:iCs/>
                <w:color w:val="FFFFFF"/>
                <w:sz w:val="28"/>
                <w:szCs w:val="28"/>
              </w:rPr>
              <w:t xml:space="preserve">Mentor is the only community for Indian professionals</w:t>
            </w:r>
          </w:p>
          <w:p>
            <w:pPr>
              <w:spacing w:before="80"/>
              <w:jc w:val="center"/>
            </w:pPr>
            <w:r>
              <w:rPr>
                <w:rFonts w:ascii="Arial" w:cs="Arial" w:eastAsia="Arial" w:hAnsi="Arial"/>
                <w:i/>
                <w:iCs/>
                <w:color w:val="FFFFFF"/>
                <w:sz w:val="28"/>
                <w:szCs w:val="28"/>
              </w:rPr>
              <w:t xml:space="preserve">where everyone in the room has been verified —</w:t>
            </w:r>
          </w:p>
          <w:p>
            <w:pPr>
              <w:spacing w:before="80"/>
              <w:jc w:val="center"/>
            </w:pPr>
            <w:r>
              <w:rPr>
                <w:rFonts w:ascii="Arial" w:cs="Arial" w:eastAsia="Arial" w:hAnsi="Arial"/>
                <w:b/>
                <w:bCs/>
                <w:color w:val="FEF3C7"/>
                <w:sz w:val="28"/>
                <w:szCs w:val="28"/>
              </w:rPr>
              <w:t xml:space="preserve">and where the conversations actually move your career.</w:t>
            </w:r>
          </w:p>
        </w:tc>
      </w:tr>
    </w:tbl>
    <w:p>
      <w:pPr>
        <w:spacing w:after="0" w:before="100"/>
      </w:pPr>
      <w:r>
        <w:t xml:space="preserve"/>
      </w:r>
    </w:p>
    <w:p>
      <w:pPr>
        <w:pStyle w:val="Heading2"/>
        <w:spacing w:after="100" w:before="280"/>
      </w:pPr>
      <w:r>
        <w:rPr>
          <w:rFonts w:ascii="Arial" w:cs="Arial" w:eastAsia="Arial" w:hAnsi="Arial"/>
          <w:b/>
          <w:bCs/>
          <w:color w:val="374151"/>
          <w:sz w:val="28"/>
          <w:szCs w:val="28"/>
        </w:rPr>
        <w:t xml:space="preserve">4.2 The Three USP Pillars</w:t>
      </w:r>
    </w:p>
    <w:p>
      <w:pPr>
        <w:spacing w:after="0" w:before="40"/>
      </w:pPr>
      <w:r>
        <w:t xml:space="preserve"/>
      </w:r>
    </w:p>
    <w:p>
      <w:pPr>
        <w:spacing w:after="100" w:before="60"/>
      </w:pPr>
      <w:r>
        <w:rPr>
          <w:rFonts w:ascii="Arial" w:cs="Arial" w:eastAsia="Arial" w:hAnsi="Arial"/>
          <w:b/>
          <w:bCs/>
          <w:color w:val="064E3B"/>
          <w:sz w:val="22"/>
          <w:szCs w:val="22"/>
        </w:rPr>
        <w:t xml:space="preserve">Pillar 1 — VERIFIED PEERS</w:t>
      </w:r>
    </w:p>
    <w:p>
      <w:pPr>
        <w:spacing w:after="100" w:before="60"/>
      </w:pPr>
      <w:r>
        <w:rPr>
          <w:rFonts w:ascii="Arial" w:cs="Arial" w:eastAsia="Arial" w:hAnsi="Arial"/>
          <w:color w:val="1A1A1A"/>
          <w:sz w:val="22"/>
          <w:szCs w:val="22"/>
        </w:rPr>
        <w:t xml:space="preserve">Every member has been screened by AI and confirmed as a practitioner in their role. This is the single thing LinkedIn cannot do without destroying its growth model. It is the foundation of everything.</w:t>
      </w:r>
    </w:p>
    <w:p>
      <w:pPr>
        <w:spacing w:after="0" w:before="60"/>
      </w:pPr>
      <w:r>
        <w:t xml:space="preserve"/>
      </w:r>
    </w:p>
    <w:p>
      <w:pPr>
        <w:spacing w:after="100" w:before="60"/>
      </w:pPr>
      <w:r>
        <w:rPr>
          <w:rFonts w:ascii="Arial" w:cs="Arial" w:eastAsia="Arial" w:hAnsi="Arial"/>
          <w:b/>
          <w:bCs/>
          <w:color w:val="064E3B"/>
          <w:sz w:val="22"/>
          <w:szCs w:val="22"/>
        </w:rPr>
        <w:t xml:space="preserve">Pillar 2 — ROLE-SPECIFIC SIGNAL</w:t>
      </w:r>
    </w:p>
    <w:p>
      <w:pPr>
        <w:spacing w:after="100" w:before="60"/>
      </w:pPr>
      <w:r>
        <w:rPr>
          <w:rFonts w:ascii="Arial" w:cs="Arial" w:eastAsia="Arial" w:hAnsi="Arial"/>
          <w:color w:val="1A1A1A"/>
          <w:sz w:val="22"/>
          <w:szCs w:val="22"/>
        </w:rPr>
        <w:t xml:space="preserve">You only see content relevant to your function and seniority. A D2C marketing manager does not see posts meant for backend engineers. This sounds obvious but no platform at scale actually does it.</w:t>
      </w:r>
    </w:p>
    <w:p>
      <w:pPr>
        <w:spacing w:after="0" w:before="60"/>
      </w:pPr>
      <w:r>
        <w:t xml:space="preserve"/>
      </w:r>
    </w:p>
    <w:p>
      <w:pPr>
        <w:spacing w:after="100" w:before="60"/>
      </w:pPr>
      <w:r>
        <w:rPr>
          <w:rFonts w:ascii="Arial" w:cs="Arial" w:eastAsia="Arial" w:hAnsi="Arial"/>
          <w:b/>
          <w:bCs/>
          <w:color w:val="064E3B"/>
          <w:sz w:val="22"/>
          <w:szCs w:val="22"/>
        </w:rPr>
        <w:t xml:space="preserve">Pillar 3 — CAREER OUTCOMES, NOT ENGAGEMENT</w:t>
      </w:r>
    </w:p>
    <w:p>
      <w:pPr>
        <w:spacing w:after="100" w:before="60"/>
      </w:pPr>
      <w:r>
        <w:rPr>
          <w:rFonts w:ascii="Arial" w:cs="Arial" w:eastAsia="Arial" w:hAnsi="Arial"/>
          <w:color w:val="1A1A1A"/>
          <w:sz w:val="22"/>
          <w:szCs w:val="22"/>
        </w:rPr>
        <w:t xml:space="preserve">Mentor tracks referrals given, jobs found, interviews landed — not likes, followers, or impressions. The platform optimises for career outcomes, not time-on-site. This is the fundamental product bet that separates it from everything else.</w:t>
      </w:r>
    </w:p>
    <w:p>
      <w:pPr>
        <w:spacing w:after="0" w:before="80"/>
      </w:pPr>
      <w:r>
        <w:t xml:space="preserve"/>
      </w:r>
    </w:p>
    <w:p>
      <w:pPr>
        <w:pStyle w:val="Heading2"/>
        <w:spacing w:after="100" w:before="280"/>
      </w:pPr>
      <w:r>
        <w:rPr>
          <w:rFonts w:ascii="Arial" w:cs="Arial" w:eastAsia="Arial" w:hAnsi="Arial"/>
          <w:b/>
          <w:bCs/>
          <w:color w:val="374151"/>
          <w:sz w:val="28"/>
          <w:szCs w:val="28"/>
        </w:rPr>
        <w:t xml:space="preserve">4.3 Anti-Positioning (What Mentor Explicitly is Not)</w:t>
      </w:r>
    </w:p>
    <w:p>
      <w:pPr>
        <w:spacing w:after="0" w:before="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B45309"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NOT</w:t>
            </w:r>
          </w:p>
        </w:tc>
        <w:tc>
          <w:tcPr>
            <w:tcW w:type="dxa" w:w="8560"/>
            <w:tcBorders>
              <w:top w:val="none" w:color="FFFFFF" w:sz="0"/>
              <w:left w:val="none" w:color="FFFFFF" w:sz="0"/>
              <w:bottom w:val="none" w:color="FFFFFF" w:sz="0"/>
              <w:right w:val="none" w:color="FFFFFF" w:sz="0"/>
            </w:tcBorders>
            <w:shd w:fill="FEF3C7" w:val="clear"/>
            <w:tcMar>
              <w:top w:type="dxa" w:w="120"/>
              <w:left w:type="dxa" w:w="200"/>
              <w:bottom w:type="dxa" w:w="120"/>
              <w:right w:type="dxa" w:w="160"/>
            </w:tcMar>
          </w:tcPr>
          <w:p>
            <w:r>
              <w:rPr>
                <w:rFonts w:ascii="Arial" w:cs="Arial" w:eastAsia="Arial" w:hAnsi="Arial"/>
                <w:color w:val="1A1A1A"/>
                <w:sz w:val="22"/>
                <w:szCs w:val="22"/>
              </w:rPr>
              <w:t xml:space="preserve">A place to broadcast thought leadership. Go to LinkedIn for that.</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B45309"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NOT</w:t>
            </w:r>
          </w:p>
        </w:tc>
        <w:tc>
          <w:tcPr>
            <w:tcW w:type="dxa" w:w="8560"/>
            <w:tcBorders>
              <w:top w:val="none" w:color="FFFFFF" w:sz="0"/>
              <w:left w:val="none" w:color="FFFFFF" w:sz="0"/>
              <w:bottom w:val="none" w:color="FFFFFF" w:sz="0"/>
              <w:right w:val="none" w:color="FFFFFF" w:sz="0"/>
            </w:tcBorders>
            <w:shd w:fill="FEF3C7" w:val="clear"/>
            <w:tcMar>
              <w:top w:type="dxa" w:w="120"/>
              <w:left w:type="dxa" w:w="200"/>
              <w:bottom w:type="dxa" w:w="120"/>
              <w:right w:type="dxa" w:w="160"/>
            </w:tcMar>
          </w:tcPr>
          <w:p>
            <w:r>
              <w:rPr>
                <w:rFonts w:ascii="Arial" w:cs="Arial" w:eastAsia="Arial" w:hAnsi="Arial"/>
                <w:color w:val="1A1A1A"/>
                <w:sz w:val="22"/>
                <w:szCs w:val="22"/>
              </w:rPr>
              <w:t xml:space="preserve">A job board. Referrals from peers you trust are the job board.</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B45309"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NOT</w:t>
            </w:r>
          </w:p>
        </w:tc>
        <w:tc>
          <w:tcPr>
            <w:tcW w:type="dxa" w:w="8560"/>
            <w:tcBorders>
              <w:top w:val="none" w:color="FFFFFF" w:sz="0"/>
              <w:left w:val="none" w:color="FFFFFF" w:sz="0"/>
              <w:bottom w:val="none" w:color="FFFFFF" w:sz="0"/>
              <w:right w:val="none" w:color="FFFFFF" w:sz="0"/>
            </w:tcBorders>
            <w:shd w:fill="FEF3C7" w:val="clear"/>
            <w:tcMar>
              <w:top w:type="dxa" w:w="120"/>
              <w:left w:type="dxa" w:w="200"/>
              <w:bottom w:type="dxa" w:w="120"/>
              <w:right w:type="dxa" w:w="160"/>
            </w:tcMar>
          </w:tcPr>
          <w:p>
            <w:r>
              <w:rPr>
                <w:rFonts w:ascii="Arial" w:cs="Arial" w:eastAsia="Arial" w:hAnsi="Arial"/>
                <w:color w:val="1A1A1A"/>
                <w:sz w:val="22"/>
                <w:szCs w:val="22"/>
              </w:rPr>
              <w:t xml:space="preserve">A course platform. The community is the curriculum.</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B45309"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NOT</w:t>
            </w:r>
          </w:p>
        </w:tc>
        <w:tc>
          <w:tcPr>
            <w:tcW w:type="dxa" w:w="8560"/>
            <w:tcBorders>
              <w:top w:val="none" w:color="FFFFFF" w:sz="0"/>
              <w:left w:val="none" w:color="FFFFFF" w:sz="0"/>
              <w:bottom w:val="none" w:color="FFFFFF" w:sz="0"/>
              <w:right w:val="none" w:color="FFFFFF" w:sz="0"/>
            </w:tcBorders>
            <w:shd w:fill="FEF3C7" w:val="clear"/>
            <w:tcMar>
              <w:top w:type="dxa" w:w="120"/>
              <w:left w:type="dxa" w:w="200"/>
              <w:bottom w:type="dxa" w:w="120"/>
              <w:right w:type="dxa" w:w="160"/>
            </w:tcMar>
          </w:tcPr>
          <w:p>
            <w:r>
              <w:rPr>
                <w:rFonts w:ascii="Arial" w:cs="Arial" w:eastAsia="Arial" w:hAnsi="Arial"/>
                <w:color w:val="1A1A1A"/>
                <w:sz w:val="22"/>
                <w:szCs w:val="22"/>
              </w:rPr>
              <w:t xml:space="preserve">Anonymous or pseudonymous. Accountability is a feature, not a bug.</w:t>
            </w:r>
          </w:p>
        </w:tc>
      </w:tr>
    </w:tbl>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5. Colour Palette and UI Direction</w:t>
      </w:r>
    </w:p>
    <w:p>
      <w:pPr>
        <w:spacing w:after="120" w:before="80"/>
      </w:pPr>
      <w:r>
        <w:rPr>
          <w:rFonts w:ascii="Arial" w:cs="Arial" w:eastAsia="Arial" w:hAnsi="Arial"/>
          <w:i/>
          <w:iCs/>
          <w:color w:val="374151"/>
          <w:sz w:val="24"/>
          <w:szCs w:val="24"/>
        </w:rPr>
        <w:t xml:space="preserve">Premium is earned through restraint. The benchmark is Spotify's dark minimal, not Silicon Valley pastel.</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5.1 Recommended Colour Palette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none" w:color="FFFFFF" w:sz="0"/>
              <w:left w:val="none" w:color="FFFFFF" w:sz="0"/>
              <w:bottom w:val="none" w:color="FFFFFF" w:sz="0"/>
              <w:right w:val="none" w:color="FFFFFF" w:sz="0"/>
            </w:tcBorders>
            <w:shd w:fill="064E3B" w:val="clear"/>
            <w:tcMar>
              <w:top w:type="dxa" w:w="240"/>
              <w:left w:type="dxa" w:w="80"/>
              <w:bottom w:type="dxa" w:w="240"/>
              <w:right w:type="dxa" w:w="80"/>
            </w:tcMar>
            <w:vAlign w:val="center"/>
          </w:tcPr>
          <w:p>
            <w:pPr>
              <w:jc w:val="center"/>
            </w:pPr>
            <w:r>
              <w:rPr>
                <w:rFonts w:ascii="Courier New" w:cs="Courier New" w:eastAsia="Courier New" w:hAnsi="Courier New"/>
                <w:b/>
                <w:bCs/>
                <w:color w:val="FFFFFF"/>
                <w:sz w:val="18"/>
                <w:szCs w:val="18"/>
              </w:rPr>
              <w:t xml:space="preserve">#064E3B</w:t>
            </w:r>
          </w:p>
          <w:p>
            <w:pPr>
              <w:spacing w:before="40"/>
              <w:jc w:val="center"/>
            </w:pPr>
            <w:r>
              <w:rPr>
                <w:rFonts w:ascii="Arial" w:cs="Arial" w:eastAsia="Arial" w:hAnsi="Arial"/>
                <w:b/>
                <w:bCs/>
                <w:color w:val="FFFFFF"/>
                <w:sz w:val="18"/>
                <w:szCs w:val="18"/>
              </w:rPr>
              <w:t xml:space="preserve">Forest</w:t>
            </w:r>
          </w:p>
          <w:p>
            <w:pPr>
              <w:jc w:val="center"/>
            </w:pPr>
            <w:r>
              <w:rPr>
                <w:rFonts w:ascii="Arial" w:cs="Arial" w:eastAsia="Arial" w:hAnsi="Arial"/>
                <w:color w:val="D1FAE5"/>
                <w:sz w:val="16"/>
                <w:szCs w:val="16"/>
              </w:rPr>
              <w:t xml:space="preserve">Primary brand</w:t>
            </w:r>
          </w:p>
        </w:tc>
        <w:tc>
          <w:tcPr>
            <w:tcW w:type="dxa" w:w="1560"/>
            <w:tcBorders>
              <w:top w:val="none" w:color="FFFFFF" w:sz="0"/>
              <w:left w:val="none" w:color="FFFFFF" w:sz="0"/>
              <w:bottom w:val="none" w:color="FFFFFF" w:sz="0"/>
              <w:right w:val="none" w:color="FFFFFF" w:sz="0"/>
            </w:tcBorders>
            <w:shd w:fill="065F46" w:val="clear"/>
            <w:tcMar>
              <w:top w:type="dxa" w:w="240"/>
              <w:left w:type="dxa" w:w="80"/>
              <w:bottom w:type="dxa" w:w="240"/>
              <w:right w:type="dxa" w:w="80"/>
            </w:tcMar>
            <w:vAlign w:val="center"/>
          </w:tcPr>
          <w:p>
            <w:pPr>
              <w:jc w:val="center"/>
            </w:pPr>
            <w:r>
              <w:rPr>
                <w:rFonts w:ascii="Courier New" w:cs="Courier New" w:eastAsia="Courier New" w:hAnsi="Courier New"/>
                <w:b/>
                <w:bCs/>
                <w:color w:val="FFFFFF"/>
                <w:sz w:val="18"/>
                <w:szCs w:val="18"/>
              </w:rPr>
              <w:t xml:space="preserve">#065F46</w:t>
            </w:r>
          </w:p>
          <w:p>
            <w:pPr>
              <w:spacing w:before="40"/>
              <w:jc w:val="center"/>
            </w:pPr>
            <w:r>
              <w:rPr>
                <w:rFonts w:ascii="Arial" w:cs="Arial" w:eastAsia="Arial" w:hAnsi="Arial"/>
                <w:b/>
                <w:bCs/>
                <w:color w:val="FFFFFF"/>
                <w:sz w:val="18"/>
                <w:szCs w:val="18"/>
              </w:rPr>
              <w:t xml:space="preserve">Emerald</w:t>
            </w:r>
          </w:p>
          <w:p>
            <w:pPr>
              <w:jc w:val="center"/>
            </w:pPr>
            <w:r>
              <w:rPr>
                <w:rFonts w:ascii="Arial" w:cs="Arial" w:eastAsia="Arial" w:hAnsi="Arial"/>
                <w:color w:val="D1FAE5"/>
                <w:sz w:val="16"/>
                <w:szCs w:val="16"/>
              </w:rPr>
              <w:t xml:space="preserve">Hover/active</w:t>
            </w:r>
          </w:p>
        </w:tc>
        <w:tc>
          <w:tcPr>
            <w:tcW w:type="dxa" w:w="1560"/>
            <w:tcBorders>
              <w:top w:val="none" w:color="FFFFFF" w:sz="0"/>
              <w:left w:val="none" w:color="FFFFFF" w:sz="0"/>
              <w:bottom w:val="none" w:color="FFFFFF" w:sz="0"/>
              <w:right w:val="none" w:color="FFFFFF" w:sz="0"/>
            </w:tcBorders>
            <w:shd w:fill="1A1A1A" w:val="clear"/>
            <w:tcMar>
              <w:top w:type="dxa" w:w="240"/>
              <w:left w:type="dxa" w:w="80"/>
              <w:bottom w:type="dxa" w:w="240"/>
              <w:right w:type="dxa" w:w="80"/>
            </w:tcMar>
            <w:vAlign w:val="center"/>
          </w:tcPr>
          <w:p>
            <w:pPr>
              <w:jc w:val="center"/>
            </w:pPr>
            <w:r>
              <w:rPr>
                <w:rFonts w:ascii="Courier New" w:cs="Courier New" w:eastAsia="Courier New" w:hAnsi="Courier New"/>
                <w:b/>
                <w:bCs/>
                <w:color w:val="FFFFFF"/>
                <w:sz w:val="18"/>
                <w:szCs w:val="18"/>
              </w:rPr>
              <w:t xml:space="preserve">#1A1A1A</w:t>
            </w:r>
          </w:p>
          <w:p>
            <w:pPr>
              <w:spacing w:before="40"/>
              <w:jc w:val="center"/>
            </w:pPr>
            <w:r>
              <w:rPr>
                <w:rFonts w:ascii="Arial" w:cs="Arial" w:eastAsia="Arial" w:hAnsi="Arial"/>
                <w:b/>
                <w:bCs/>
                <w:color w:val="FFFFFF"/>
                <w:sz w:val="18"/>
                <w:szCs w:val="18"/>
              </w:rPr>
              <w:t xml:space="preserve">Charcoal</w:t>
            </w:r>
          </w:p>
          <w:p>
            <w:pPr>
              <w:jc w:val="center"/>
            </w:pPr>
            <w:r>
              <w:rPr>
                <w:rFonts w:ascii="Arial" w:cs="Arial" w:eastAsia="Arial" w:hAnsi="Arial"/>
                <w:color w:val="D1FAE5"/>
                <w:sz w:val="16"/>
                <w:szCs w:val="16"/>
              </w:rPr>
              <w:t xml:space="preserve">Text/dark bg</w:t>
            </w:r>
          </w:p>
        </w:tc>
        <w:tc>
          <w:tcPr>
            <w:tcW w:type="dxa" w:w="1560"/>
            <w:tcBorders>
              <w:top w:val="none" w:color="FFFFFF" w:sz="0"/>
              <w:left w:val="none" w:color="FFFFFF" w:sz="0"/>
              <w:bottom w:val="none" w:color="FFFFFF" w:sz="0"/>
              <w:right w:val="none" w:color="FFFFFF" w:sz="0"/>
            </w:tcBorders>
            <w:shd w:fill="374151" w:val="clear"/>
            <w:tcMar>
              <w:top w:type="dxa" w:w="240"/>
              <w:left w:type="dxa" w:w="80"/>
              <w:bottom w:type="dxa" w:w="240"/>
              <w:right w:type="dxa" w:w="80"/>
            </w:tcMar>
            <w:vAlign w:val="center"/>
          </w:tcPr>
          <w:p>
            <w:pPr>
              <w:jc w:val="center"/>
            </w:pPr>
            <w:r>
              <w:rPr>
                <w:rFonts w:ascii="Courier New" w:cs="Courier New" w:eastAsia="Courier New" w:hAnsi="Courier New"/>
                <w:b/>
                <w:bCs/>
                <w:color w:val="FFFFFF"/>
                <w:sz w:val="18"/>
                <w:szCs w:val="18"/>
              </w:rPr>
              <w:t xml:space="preserve">#374151</w:t>
            </w:r>
          </w:p>
          <w:p>
            <w:pPr>
              <w:spacing w:before="40"/>
              <w:jc w:val="center"/>
            </w:pPr>
            <w:r>
              <w:rPr>
                <w:rFonts w:ascii="Arial" w:cs="Arial" w:eastAsia="Arial" w:hAnsi="Arial"/>
                <w:b/>
                <w:bCs/>
                <w:color w:val="FFFFFF"/>
                <w:sz w:val="18"/>
                <w:szCs w:val="18"/>
              </w:rPr>
              <w:t xml:space="preserve">Slate</w:t>
            </w:r>
          </w:p>
          <w:p>
            <w:pPr>
              <w:jc w:val="center"/>
            </w:pPr>
            <w:r>
              <w:rPr>
                <w:rFonts w:ascii="Arial" w:cs="Arial" w:eastAsia="Arial" w:hAnsi="Arial"/>
                <w:color w:val="D1FAE5"/>
                <w:sz w:val="16"/>
                <w:szCs w:val="16"/>
              </w:rPr>
              <w:t xml:space="preserve">Secondary text</w:t>
            </w:r>
          </w:p>
        </w:tc>
        <w:tc>
          <w:tcPr>
            <w:tcW w:type="dxa" w:w="1560"/>
            <w:tcBorders>
              <w:top w:val="none" w:color="FFFFFF" w:sz="0"/>
              <w:left w:val="none" w:color="FFFFFF" w:sz="0"/>
              <w:bottom w:val="none" w:color="FFFFFF" w:sz="0"/>
              <w:right w:val="none" w:color="FFFFFF" w:sz="0"/>
            </w:tcBorders>
            <w:shd w:fill="B45309" w:val="clear"/>
            <w:tcMar>
              <w:top w:type="dxa" w:w="240"/>
              <w:left w:type="dxa" w:w="80"/>
              <w:bottom w:type="dxa" w:w="240"/>
              <w:right w:type="dxa" w:w="80"/>
            </w:tcMar>
            <w:vAlign w:val="center"/>
          </w:tcPr>
          <w:p>
            <w:pPr>
              <w:jc w:val="center"/>
            </w:pPr>
            <w:r>
              <w:rPr>
                <w:rFonts w:ascii="Courier New" w:cs="Courier New" w:eastAsia="Courier New" w:hAnsi="Courier New"/>
                <w:b/>
                <w:bCs/>
                <w:color w:val="1A1A1A"/>
                <w:sz w:val="18"/>
                <w:szCs w:val="18"/>
              </w:rPr>
              <w:t xml:space="preserve">#B45309</w:t>
            </w:r>
          </w:p>
          <w:p>
            <w:pPr>
              <w:spacing w:before="40"/>
              <w:jc w:val="center"/>
            </w:pPr>
            <w:r>
              <w:rPr>
                <w:rFonts w:ascii="Arial" w:cs="Arial" w:eastAsia="Arial" w:hAnsi="Arial"/>
                <w:b/>
                <w:bCs/>
                <w:color w:val="1A1A1A"/>
                <w:sz w:val="18"/>
                <w:szCs w:val="18"/>
              </w:rPr>
              <w:t xml:space="preserve">Brass</w:t>
            </w:r>
          </w:p>
          <w:p>
            <w:pPr>
              <w:jc w:val="center"/>
            </w:pPr>
            <w:r>
              <w:rPr>
                <w:rFonts w:ascii="Arial" w:cs="Arial" w:eastAsia="Arial" w:hAnsi="Arial"/>
                <w:color w:val="374151"/>
                <w:sz w:val="16"/>
                <w:szCs w:val="16"/>
              </w:rPr>
              <w:t xml:space="preserve">Accent/CTA</w:t>
            </w:r>
          </w:p>
        </w:tc>
        <w:tc>
          <w:tcPr>
            <w:tcW w:type="dxa" w:w="1560"/>
            <w:tcBorders>
              <w:top w:val="none" w:color="FFFFFF" w:sz="0"/>
              <w:left w:val="none" w:color="FFFFFF" w:sz="0"/>
              <w:bottom w:val="none" w:color="FFFFFF" w:sz="0"/>
              <w:right w:val="none" w:color="FFFFFF" w:sz="0"/>
            </w:tcBorders>
            <w:shd w:fill="F9FAFB" w:val="clear"/>
            <w:tcMar>
              <w:top w:type="dxa" w:w="240"/>
              <w:left w:type="dxa" w:w="80"/>
              <w:bottom w:type="dxa" w:w="240"/>
              <w:right w:type="dxa" w:w="80"/>
            </w:tcMar>
            <w:vAlign w:val="center"/>
          </w:tcPr>
          <w:p>
            <w:pPr>
              <w:jc w:val="center"/>
            </w:pPr>
            <w:r>
              <w:rPr>
                <w:rFonts w:ascii="Courier New" w:cs="Courier New" w:eastAsia="Courier New" w:hAnsi="Courier New"/>
                <w:b/>
                <w:bCs/>
                <w:color w:val="1A1A1A"/>
                <w:sz w:val="18"/>
                <w:szCs w:val="18"/>
              </w:rPr>
              <w:t xml:space="preserve">#F9FAFB</w:t>
            </w:r>
          </w:p>
          <w:p>
            <w:pPr>
              <w:spacing w:before="40"/>
              <w:jc w:val="center"/>
            </w:pPr>
            <w:r>
              <w:rPr>
                <w:rFonts w:ascii="Arial" w:cs="Arial" w:eastAsia="Arial" w:hAnsi="Arial"/>
                <w:b/>
                <w:bCs/>
                <w:color w:val="1A1A1A"/>
                <w:sz w:val="18"/>
                <w:szCs w:val="18"/>
              </w:rPr>
              <w:t xml:space="preserve">Offwhite</w:t>
            </w:r>
          </w:p>
          <w:p>
            <w:pPr>
              <w:jc w:val="center"/>
            </w:pPr>
            <w:r>
              <w:rPr>
                <w:rFonts w:ascii="Arial" w:cs="Arial" w:eastAsia="Arial" w:hAnsi="Arial"/>
                <w:color w:val="374151"/>
                <w:sz w:val="16"/>
                <w:szCs w:val="16"/>
              </w:rPr>
              <w:t xml:space="preserve">Light bg</w:t>
            </w:r>
          </w:p>
        </w:tc>
      </w:tr>
    </w:tbl>
    <w:p>
      <w:pPr>
        <w:spacing w:after="0" w:before="80"/>
      </w:pPr>
      <w:r>
        <w:t xml:space="preserve"/>
      </w:r>
    </w:p>
    <w:p>
      <w:pPr>
        <w:spacing w:after="100" w:before="60"/>
      </w:pPr>
      <w:r>
        <w:rPr>
          <w:rFonts w:ascii="Arial" w:cs="Arial" w:eastAsia="Arial" w:hAnsi="Arial"/>
          <w:color w:val="1A1A1A"/>
          <w:sz w:val="22"/>
          <w:szCs w:val="22"/>
        </w:rPr>
        <w:t xml:space="preserve">Rationale: Dark green reads as premium, grown-up, and organic — the colour of serious institutions (BlackRock, McKinsey green variants) without the cold tech-blue of LinkedIn or the aggressive orange of Naukri. Brass/gold accent signals status and reward. Charcoal body text is easier to read than pure black on screens. Off-white backgrounds prevent the clinical feel of pure white.</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5.2 Typography Direction</w:t>
      </w:r>
    </w:p>
    <w:p>
      <w:pPr>
        <w:spacing w:after="0" w:before="40"/>
      </w:pPr>
      <w:r>
        <w:t xml:space="preserve"/>
      </w:r>
    </w:p>
    <w:p>
      <w:pPr>
        <w:pStyle w:val="ListParagraph"/>
        <w:numPr>
          <w:ilvl w:val="0"/>
          <w:numId w:val="2"/>
        </w:numPr>
        <w:spacing w:after="40" w:before="40"/>
      </w:pPr>
      <w:r>
        <w:rPr>
          <w:rFonts w:ascii="Arial" w:cs="Arial" w:eastAsia="Arial" w:hAnsi="Arial"/>
          <w:color w:val="1A1A1A"/>
          <w:sz w:val="22"/>
          <w:szCs w:val="22"/>
        </w:rPr>
        <w:t xml:space="preserve">Headings: Inter or Geist — clean, modern, legible at any size. No serif. No novelty fonts.</w:t>
      </w:r>
    </w:p>
    <w:p>
      <w:pPr>
        <w:pStyle w:val="ListParagraph"/>
        <w:numPr>
          <w:ilvl w:val="0"/>
          <w:numId w:val="2"/>
        </w:numPr>
        <w:spacing w:after="40" w:before="40"/>
      </w:pPr>
      <w:r>
        <w:rPr>
          <w:rFonts w:ascii="Arial" w:cs="Arial" w:eastAsia="Arial" w:hAnsi="Arial"/>
          <w:color w:val="1A1A1A"/>
          <w:sz w:val="22"/>
          <w:szCs w:val="22"/>
        </w:rPr>
        <w:t xml:space="preserve">Body: Inter at 15-16px. Line height 1.6. Not compressed. Premium feels spacious.</w:t>
      </w:r>
    </w:p>
    <w:p>
      <w:pPr>
        <w:pStyle w:val="ListParagraph"/>
        <w:numPr>
          <w:ilvl w:val="0"/>
          <w:numId w:val="2"/>
        </w:numPr>
        <w:spacing w:after="40" w:before="40"/>
      </w:pPr>
      <w:r>
        <w:rPr>
          <w:rFonts w:ascii="Arial" w:cs="Arial" w:eastAsia="Arial" w:hAnsi="Arial"/>
          <w:color w:val="1A1A1A"/>
          <w:sz w:val="22"/>
          <w:szCs w:val="22"/>
        </w:rPr>
        <w:t xml:space="preserve">Data/metrics: Mono font (JetBrains Mono or similar) for numbers — comp figures, scores, member counts.</w:t>
      </w:r>
    </w:p>
    <w:p>
      <w:pPr>
        <w:pStyle w:val="ListParagraph"/>
        <w:numPr>
          <w:ilvl w:val="0"/>
          <w:numId w:val="2"/>
        </w:numPr>
        <w:spacing w:after="40" w:before="40"/>
      </w:pPr>
      <w:r>
        <w:rPr>
          <w:rFonts w:ascii="Arial" w:cs="Arial" w:eastAsia="Arial" w:hAnsi="Arial"/>
          <w:color w:val="1A1A1A"/>
          <w:sz w:val="22"/>
          <w:szCs w:val="22"/>
        </w:rPr>
        <w:t xml:space="preserve">Never use system fonts for headings. The typography IS the brand signal on a screen product.</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5.3 UI Principles for Premium Feel</w:t>
      </w:r>
    </w:p>
    <w:p>
      <w:pPr>
        <w:spacing w:after="0" w:before="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065F46"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RULE 1</w:t>
            </w:r>
          </w:p>
        </w:tc>
        <w:tc>
          <w:tcPr>
            <w:tcW w:type="dxa" w:w="8560"/>
            <w:tcBorders>
              <w:top w:val="none" w:color="FFFFFF" w:sz="0"/>
              <w:left w:val="none" w:color="FFFFFF" w:sz="0"/>
              <w:bottom w:val="none" w:color="FFFFFF" w:sz="0"/>
              <w:right w:val="none" w:color="FFFFFF" w:sz="0"/>
            </w:tcBorders>
            <w:shd w:fill="F0FDF4" w:val="clear"/>
            <w:tcMar>
              <w:top w:type="dxa" w:w="120"/>
              <w:left w:type="dxa" w:w="200"/>
              <w:bottom w:type="dxa" w:w="120"/>
              <w:right w:type="dxa" w:w="160"/>
            </w:tcMar>
          </w:tcPr>
          <w:p>
            <w:r>
              <w:rPr>
                <w:rFonts w:ascii="Arial" w:cs="Arial" w:eastAsia="Arial" w:hAnsi="Arial"/>
                <w:color w:val="1A1A1A"/>
                <w:sz w:val="22"/>
                <w:szCs w:val="22"/>
              </w:rPr>
              <w:t xml:space="preserve">Every screen has one primary action. Not three. Not five. One. If there are multiple CTAs, the premium feel collapses.</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065F46"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RULE 2</w:t>
            </w:r>
          </w:p>
        </w:tc>
        <w:tc>
          <w:tcPr>
            <w:tcW w:type="dxa" w:w="8560"/>
            <w:tcBorders>
              <w:top w:val="none" w:color="FFFFFF" w:sz="0"/>
              <w:left w:val="none" w:color="FFFFFF" w:sz="0"/>
              <w:bottom w:val="none" w:color="FFFFFF" w:sz="0"/>
              <w:right w:val="none" w:color="FFFFFF" w:sz="0"/>
            </w:tcBorders>
            <w:shd w:fill="F0FDF4" w:val="clear"/>
            <w:tcMar>
              <w:top w:type="dxa" w:w="120"/>
              <w:left w:type="dxa" w:w="200"/>
              <w:bottom w:type="dxa" w:w="120"/>
              <w:right w:type="dxa" w:w="160"/>
            </w:tcMar>
          </w:tcPr>
          <w:p>
            <w:r>
              <w:rPr>
                <w:rFonts w:ascii="Arial" w:cs="Arial" w:eastAsia="Arial" w:hAnsi="Arial"/>
                <w:color w:val="1A1A1A"/>
                <w:sz w:val="22"/>
                <w:szCs w:val="22"/>
              </w:rPr>
              <w:t xml:space="preserve">Dark mode as the default. Reforge, Linear, Vercel, Raycast — all the tools overachievers use are dark by default. It signals seriousness.</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065F46"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RULE 3</w:t>
            </w:r>
          </w:p>
        </w:tc>
        <w:tc>
          <w:tcPr>
            <w:tcW w:type="dxa" w:w="8560"/>
            <w:tcBorders>
              <w:top w:val="none" w:color="FFFFFF" w:sz="0"/>
              <w:left w:val="none" w:color="FFFFFF" w:sz="0"/>
              <w:bottom w:val="none" w:color="FFFFFF" w:sz="0"/>
              <w:right w:val="none" w:color="FFFFFF" w:sz="0"/>
            </w:tcBorders>
            <w:shd w:fill="F0FDF4" w:val="clear"/>
            <w:tcMar>
              <w:top w:type="dxa" w:w="120"/>
              <w:left w:type="dxa" w:w="200"/>
              <w:bottom w:type="dxa" w:w="120"/>
              <w:right w:type="dxa" w:w="160"/>
            </w:tcMar>
          </w:tcPr>
          <w:p>
            <w:r>
              <w:rPr>
                <w:rFonts w:ascii="Arial" w:cs="Arial" w:eastAsia="Arial" w:hAnsi="Arial"/>
                <w:color w:val="1A1A1A"/>
                <w:sz w:val="22"/>
                <w:szCs w:val="22"/>
              </w:rPr>
              <w:t xml:space="preserve">No empty states with cartoon illustrations. Empty states should use text-first copy that explains the value of filling the space. 'Your referral channel is quiet. Post a referral request — members convert at 3x compared to cold applications.'</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065F46"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RULE 4</w:t>
            </w:r>
          </w:p>
        </w:tc>
        <w:tc>
          <w:tcPr>
            <w:tcW w:type="dxa" w:w="8560"/>
            <w:tcBorders>
              <w:top w:val="none" w:color="FFFFFF" w:sz="0"/>
              <w:left w:val="none" w:color="FFFFFF" w:sz="0"/>
              <w:bottom w:val="none" w:color="FFFFFF" w:sz="0"/>
              <w:right w:val="none" w:color="FFFFFF" w:sz="0"/>
            </w:tcBorders>
            <w:shd w:fill="F0FDF4" w:val="clear"/>
            <w:tcMar>
              <w:top w:type="dxa" w:w="120"/>
              <w:left w:type="dxa" w:w="200"/>
              <w:bottom w:type="dxa" w:w="120"/>
              <w:right w:type="dxa" w:w="160"/>
            </w:tcMar>
          </w:tcPr>
          <w:p>
            <w:r>
              <w:rPr>
                <w:rFonts w:ascii="Arial" w:cs="Arial" w:eastAsia="Arial" w:hAnsi="Arial"/>
                <w:color w:val="1A1A1A"/>
                <w:sz w:val="22"/>
                <w:szCs w:val="22"/>
              </w:rPr>
              <w:t xml:space="preserve">Verified badges must be earned and visible. The green tick on a profile is not a decoration — it is social proof. Make it prominent without being garish.</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065F46"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RULE 5</w:t>
            </w:r>
          </w:p>
        </w:tc>
        <w:tc>
          <w:tcPr>
            <w:tcW w:type="dxa" w:w="8560"/>
            <w:tcBorders>
              <w:top w:val="none" w:color="FFFFFF" w:sz="0"/>
              <w:left w:val="none" w:color="FFFFFF" w:sz="0"/>
              <w:bottom w:val="none" w:color="FFFFFF" w:sz="0"/>
              <w:right w:val="none" w:color="FFFFFF" w:sz="0"/>
            </w:tcBorders>
            <w:shd w:fill="F0FDF4" w:val="clear"/>
            <w:tcMar>
              <w:top w:type="dxa" w:w="120"/>
              <w:left w:type="dxa" w:w="200"/>
              <w:bottom w:type="dxa" w:w="120"/>
              <w:right w:type="dxa" w:w="160"/>
            </w:tcMar>
          </w:tcPr>
          <w:p>
            <w:r>
              <w:rPr>
                <w:rFonts w:ascii="Arial" w:cs="Arial" w:eastAsia="Arial" w:hAnsi="Arial"/>
                <w:color w:val="1A1A1A"/>
                <w:sz w:val="22"/>
                <w:szCs w:val="22"/>
              </w:rPr>
              <w:t xml:space="preserve">Micro-interactions over animations. Hover states, transitions under 150ms, skeleton loaders. Never spinning loaders. Never confetti on every action.</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065F46"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RULE 6</w:t>
            </w:r>
          </w:p>
        </w:tc>
        <w:tc>
          <w:tcPr>
            <w:tcW w:type="dxa" w:w="8560"/>
            <w:tcBorders>
              <w:top w:val="none" w:color="FFFFFF" w:sz="0"/>
              <w:left w:val="none" w:color="FFFFFF" w:sz="0"/>
              <w:bottom w:val="none" w:color="FFFFFF" w:sz="0"/>
              <w:right w:val="none" w:color="FFFFFF" w:sz="0"/>
            </w:tcBorders>
            <w:shd w:fill="F0FDF4" w:val="clear"/>
            <w:tcMar>
              <w:top w:type="dxa" w:w="120"/>
              <w:left w:type="dxa" w:w="200"/>
              <w:bottom w:type="dxa" w:w="120"/>
              <w:right w:type="dxa" w:w="160"/>
            </w:tcMar>
          </w:tcPr>
          <w:p>
            <w:r>
              <w:rPr>
                <w:rFonts w:ascii="Arial" w:cs="Arial" w:eastAsia="Arial" w:hAnsi="Arial"/>
                <w:color w:val="1A1A1A"/>
                <w:sz w:val="22"/>
                <w:szCs w:val="22"/>
              </w:rPr>
              <w:t xml:space="preserve">Cards, not tables. Every piece of content, every member, every job should live in a card. Tables signal data-entry software. Cards signal product.</w:t>
            </w:r>
          </w:p>
        </w:tc>
      </w:tr>
    </w:tbl>
    <w:p>
      <w:pPr>
        <w:spacing w:after="0" w:before="3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065F46"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RULE 7</w:t>
            </w:r>
          </w:p>
        </w:tc>
        <w:tc>
          <w:tcPr>
            <w:tcW w:type="dxa" w:w="8560"/>
            <w:tcBorders>
              <w:top w:val="none" w:color="FFFFFF" w:sz="0"/>
              <w:left w:val="none" w:color="FFFFFF" w:sz="0"/>
              <w:bottom w:val="none" w:color="FFFFFF" w:sz="0"/>
              <w:right w:val="none" w:color="FFFFFF" w:sz="0"/>
            </w:tcBorders>
            <w:shd w:fill="F0FDF4" w:val="clear"/>
            <w:tcMar>
              <w:top w:type="dxa" w:w="120"/>
              <w:left w:type="dxa" w:w="200"/>
              <w:bottom w:type="dxa" w:w="120"/>
              <w:right w:type="dxa" w:w="160"/>
            </w:tcMar>
          </w:tcPr>
          <w:p>
            <w:r>
              <w:rPr>
                <w:rFonts w:ascii="Arial" w:cs="Arial" w:eastAsia="Arial" w:hAnsi="Arial"/>
                <w:color w:val="1A1A1A"/>
                <w:sz w:val="22"/>
                <w:szCs w:val="22"/>
              </w:rPr>
              <w:t xml:space="preserve">Density by context. The feed is spacious. The member directory is denser. The channel list is compact. Match density to how users consume each surface.</w:t>
            </w:r>
          </w:p>
        </w:tc>
      </w:tr>
    </w:tbl>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6. Positioning Mentor as the Overachievers' Platform</w:t>
      </w:r>
    </w:p>
    <w:p>
      <w:pPr>
        <w:spacing w:after="120" w:before="80"/>
      </w:pPr>
      <w:r>
        <w:rPr>
          <w:rFonts w:ascii="Arial" w:cs="Arial" w:eastAsia="Arial" w:hAnsi="Arial"/>
          <w:i/>
          <w:iCs/>
          <w:color w:val="374151"/>
          <w:sz w:val="24"/>
          <w:szCs w:val="24"/>
        </w:rPr>
        <w:t xml:space="preserve">The brand must make someone feel, on first contact, that this was built for people like them — not everyone.</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6.1 The Overachiever Profile</w:t>
      </w:r>
    </w:p>
    <w:p>
      <w:pPr>
        <w:spacing w:after="0" w:before="40"/>
      </w:pPr>
      <w:r>
        <w:t xml:space="preserve"/>
      </w:r>
    </w:p>
    <w:p>
      <w:pPr>
        <w:spacing w:after="100" w:before="60"/>
      </w:pPr>
      <w:r>
        <w:rPr>
          <w:rFonts w:ascii="Arial" w:cs="Arial" w:eastAsia="Arial" w:hAnsi="Arial"/>
          <w:color w:val="1A1A1A"/>
          <w:sz w:val="22"/>
          <w:szCs w:val="22"/>
        </w:rPr>
        <w:t xml:space="preserve">Mentor's target user has a specific psychology. They are not early in their career. They have proven themselves at one company and are asking: how do I get to the next level? They are frustrated that LinkedIn rewards people who post daily drivel. They are smart enough to know that most professional advice online is generic. They value their time aggressively. They want signal, not noise.</w:t>
      </w:r>
    </w:p>
    <w:p>
      <w:pPr>
        <w:spacing w:after="0" w:before="40"/>
      </w:pPr>
      <w:r>
        <w:t xml:space="preserve"/>
      </w:r>
    </w:p>
    <w:p>
      <w:pPr>
        <w:spacing w:after="100" w:before="60"/>
      </w:pPr>
      <w:r>
        <w:rPr>
          <w:rFonts w:ascii="Arial" w:cs="Arial" w:eastAsia="Arial" w:hAnsi="Arial"/>
          <w:color w:val="1A1A1A"/>
          <w:sz w:val="22"/>
          <w:szCs w:val="22"/>
        </w:rPr>
        <w:t xml:space="preserve">They are the PM who got promoted twice but cannot find peers at their seniority to think alongside. The marketing manager at a funded startup who wants to know what really goes on inside Zomato and Swiggy. The engineer who wants to switch to product and needs a real insider view, not a Medium article.</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6.2 The Brand Voice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E5E7EB" w:sz="4"/>
              <w:left w:val="single" w:color="E5E7EB" w:sz="4"/>
              <w:bottom w:val="single" w:color="E5E7EB" w:sz="4"/>
              <w:right w:val="single" w:color="E5E7EB" w:sz="4"/>
            </w:tcBorders>
            <w:shd w:fill="064E3B" w:val="clear"/>
            <w:tcMar>
              <w:top w:type="dxa" w:w="100"/>
              <w:left w:type="dxa" w:w="160"/>
              <w:bottom w:type="dxa" w:w="100"/>
              <w:right w:type="dxa" w:w="160"/>
            </w:tcMar>
          </w:tcPr>
          <w:p>
            <w:pPr>
              <w:jc w:val="center"/>
            </w:pPr>
            <w:r>
              <w:rPr>
                <w:rFonts w:ascii="Arial" w:cs="Arial" w:eastAsia="Arial" w:hAnsi="Arial"/>
                <w:b/>
                <w:bCs/>
                <w:color w:val="FFFFFF"/>
                <w:sz w:val="22"/>
                <w:szCs w:val="22"/>
              </w:rPr>
              <w:t xml:space="preserve">MENTOR SPEAKS LIKE THIS</w:t>
            </w:r>
          </w:p>
        </w:tc>
        <w:tc>
          <w:tcPr>
            <w:tcW w:type="dxa" w:w="4680"/>
            <w:tcBorders>
              <w:top w:val="single" w:color="E5E7EB" w:sz="4"/>
              <w:left w:val="single" w:color="E5E7EB" w:sz="4"/>
              <w:bottom w:val="single" w:color="E5E7EB" w:sz="4"/>
              <w:right w:val="single" w:color="E5E7EB" w:sz="4"/>
            </w:tcBorders>
            <w:shd w:fill="991B1B" w:val="clear"/>
            <w:tcMar>
              <w:top w:type="dxa" w:w="100"/>
              <w:left w:type="dxa" w:w="160"/>
              <w:bottom w:type="dxa" w:w="100"/>
              <w:right w:type="dxa" w:w="160"/>
            </w:tcMar>
          </w:tcPr>
          <w:p>
            <w:pPr>
              <w:jc w:val="center"/>
            </w:pPr>
            <w:r>
              <w:rPr>
                <w:rFonts w:ascii="Arial" w:cs="Arial" w:eastAsia="Arial" w:hAnsi="Arial"/>
                <w:b/>
                <w:bCs/>
                <w:color w:val="FFFFFF"/>
                <w:sz w:val="22"/>
                <w:szCs w:val="22"/>
              </w:rPr>
              <w:t xml:space="preserve">NOT LIKE THIS</w:t>
            </w:r>
          </w:p>
        </w:tc>
      </w:tr>
      <w:tr>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Direct. 'Your application was rejected because your answers were too vague.'</w:t>
            </w:r>
          </w:p>
        </w:tc>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Diplomatic to the point of meaninglessness. 'We appreciate your interest but...'</w:t>
            </w:r>
          </w:p>
        </w:tc>
      </w:tr>
      <w:tr>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Specific. 'Members in the Product community get an average of 2.3 referral introductions per month.'</w:t>
            </w:r>
          </w:p>
        </w:tc>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Vague. 'Join a community of like-minded professionals.'</w:t>
            </w:r>
          </w:p>
        </w:tc>
      </w:tr>
      <w:tr>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Earned confidence. 'We only admit 40% of applicants. That is by design.'</w:t>
            </w:r>
          </w:p>
        </w:tc>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Hollow aspiration. 'Unlock your potential! Grow your network!'</w:t>
            </w:r>
          </w:p>
        </w:tc>
      </w:tr>
      <w:tr>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Peer energy. 'Your group is discussing Q2 hiring freezes. Add your read.'</w:t>
            </w:r>
          </w:p>
        </w:tc>
        <w:tc>
          <w:tcPr>
            <w:tcW w:type="dxa" w:w="4680"/>
            <w:tcBorders>
              <w:top w:val="single" w:color="E5E7EB" w:sz="4"/>
              <w:left w:val="single" w:color="E5E7EB" w:sz="4"/>
              <w:bottom w:val="single" w:color="E5E7EB" w:sz="4"/>
              <w:right w:val="single" w:color="E5E7EB" w:sz="4"/>
            </w:tcBorders>
            <w:shd w:fill="F0FDF4" w:val="clear"/>
            <w:tcMar>
              <w:top w:type="dxa" w:w="80"/>
              <w:left w:type="dxa" w:w="160"/>
              <w:bottom w:type="dxa" w:w="80"/>
              <w:right w:type="dxa" w:w="160"/>
            </w:tcMar>
          </w:tcPr>
          <w:p>
            <w:r>
              <w:rPr>
                <w:rFonts w:ascii="Arial" w:cs="Arial" w:eastAsia="Arial" w:hAnsi="Arial"/>
                <w:color w:val="1A1A1A"/>
                <w:sz w:val="21"/>
                <w:szCs w:val="21"/>
              </w:rPr>
              <w:t xml:space="preserve">Corporate broadcast. 'Check out the latest insights from our experts!'</w:t>
            </w:r>
          </w:p>
        </w:tc>
      </w:tr>
      <w:tr>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Honest about what it isn't. 'Mentor is not for casual networking. It is for people who want outcomes.'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1A1A1A"/>
                <w:sz w:val="21"/>
                <w:szCs w:val="21"/>
              </w:rPr>
              <w:t xml:space="preserve">Trying to be everything. 'Connect, learn, grow, and achieve your goals!'</w:t>
            </w:r>
          </w:p>
        </w:tc>
      </w:tr>
    </w:tbl>
    <w:p>
      <w:pPr>
        <w:spacing w:after="0" w:before="80"/>
      </w:pPr>
      <w:r>
        <w:t xml:space="preserve"/>
      </w:r>
    </w:p>
    <w:p>
      <w:pPr>
        <w:pStyle w:val="Heading2"/>
        <w:spacing w:after="100" w:before="280"/>
      </w:pPr>
      <w:r>
        <w:rPr>
          <w:rFonts w:ascii="Arial" w:cs="Arial" w:eastAsia="Arial" w:hAnsi="Arial"/>
          <w:b/>
          <w:bCs/>
          <w:color w:val="374151"/>
          <w:sz w:val="28"/>
          <w:szCs w:val="28"/>
        </w:rPr>
        <w:t xml:space="preserve">6.3 The Verification Narrative</w:t>
      </w:r>
    </w:p>
    <w:p>
      <w:pPr>
        <w:spacing w:after="0" w:before="40"/>
      </w:pPr>
      <w:r>
        <w:t xml:space="preserve"/>
      </w:r>
    </w:p>
    <w:p>
      <w:pPr>
        <w:spacing w:after="100" w:before="60"/>
      </w:pPr>
      <w:r>
        <w:rPr>
          <w:rFonts w:ascii="Arial" w:cs="Arial" w:eastAsia="Arial" w:hAnsi="Arial"/>
          <w:color w:val="1A1A1A"/>
          <w:sz w:val="22"/>
          <w:szCs w:val="22"/>
        </w:rPr>
        <w:t xml:space="preserve">The AI-powered screening is not just a feature — it is the founding story. Lead with it everywhere. The fact that every person in the room has been vetted is what makes every conversation worth having. Other platforms let anyone in. Mentor decided not to. Frame that as a gift to members, not a barrier.</w:t>
      </w:r>
    </w:p>
    <w:p>
      <w:pPr>
        <w:spacing w:after="0" w:before="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B45309" w:val="clear"/>
            <w:tcMar>
              <w:top w:type="dxa" w:w="120"/>
              <w:left w:type="dxa" w:w="160"/>
              <w:bottom w:type="dxa" w:w="120"/>
              <w:right w:type="dxa" w:w="120"/>
            </w:tcMar>
            <w:vAlign w:val="center"/>
          </w:tcPr>
          <w:p>
            <w:pPr>
              <w:jc w:val="center"/>
            </w:pPr>
            <w:r>
              <w:rPr>
                <w:rFonts w:ascii="Arial" w:cs="Arial" w:eastAsia="Arial" w:hAnsi="Arial"/>
                <w:b/>
                <w:bCs/>
                <w:color w:val="FFFFFF"/>
                <w:sz w:val="20"/>
                <w:szCs w:val="20"/>
              </w:rPr>
              <w:t xml:space="preserve">COPY DIRECTION</w:t>
            </w:r>
          </w:p>
        </w:tc>
        <w:tc>
          <w:tcPr>
            <w:tcW w:type="dxa" w:w="8560"/>
            <w:tcBorders>
              <w:top w:val="none" w:color="FFFFFF" w:sz="0"/>
              <w:left w:val="none" w:color="FFFFFF" w:sz="0"/>
              <w:bottom w:val="none" w:color="FFFFFF" w:sz="0"/>
              <w:right w:val="none" w:color="FFFFFF" w:sz="0"/>
            </w:tcBorders>
            <w:shd w:fill="FEF3C7" w:val="clear"/>
            <w:tcMar>
              <w:top w:type="dxa" w:w="120"/>
              <w:left w:type="dxa" w:w="200"/>
              <w:bottom w:type="dxa" w:w="120"/>
              <w:right w:type="dxa" w:w="160"/>
            </w:tcMar>
          </w:tcPr>
          <w:p>
            <w:r>
              <w:rPr>
                <w:rFonts w:ascii="Arial" w:cs="Arial" w:eastAsia="Arial" w:hAnsi="Arial"/>
                <w:color w:val="1A1A1A"/>
                <w:sz w:val="22"/>
                <w:szCs w:val="22"/>
              </w:rPr>
              <w:t xml:space="preserve">"Everyone here earned their seat. Your AI score was 84/100. Welcome to the Product community." — This kind of message should be the very first thing a new member reads.</w:t>
            </w:r>
          </w:p>
        </w:tc>
      </w:tr>
    </w:tbl>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7. What You Are Missing — Questions, Gaps, and Loopholes</w:t>
      </w:r>
    </w:p>
    <w:p>
      <w:pPr>
        <w:spacing w:after="120" w:before="80"/>
      </w:pPr>
      <w:r>
        <w:rPr>
          <w:rFonts w:ascii="Arial" w:cs="Arial" w:eastAsia="Arial" w:hAnsi="Arial"/>
          <w:i/>
          <w:iCs/>
          <w:color w:val="374151"/>
          <w:sz w:val="24"/>
          <w:szCs w:val="24"/>
        </w:rPr>
        <w:t xml:space="preserve">The hardest questions to ask yourself. Answer these before raising money or scaling.</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7.1 Structural Questions</w:t>
      </w:r>
    </w:p>
    <w:p>
      <w:pPr>
        <w:spacing w:after="0" w:before="40"/>
      </w:pPr>
      <w:r>
        <w:t xml:space="preserve"/>
      </w:r>
    </w:p>
    <w:p>
      <w:pPr>
        <w:pStyle w:val="ListParagraph"/>
        <w:numPr>
          <w:ilvl w:val="0"/>
          <w:numId w:val="2"/>
        </w:numPr>
        <w:spacing w:after="40" w:before="40"/>
      </w:pPr>
      <w:r>
        <w:rPr>
          <w:rFonts w:ascii="Arial" w:cs="Arial" w:eastAsia="Arial" w:hAnsi="Arial"/>
          <w:color w:val="1A1A1A"/>
          <w:sz w:val="22"/>
          <w:szCs w:val="22"/>
        </w:rPr>
        <w:t xml:space="preserve">Who moderates the groups? AI screening gets people in, but who keeps quality high once they are inside? The first 100 members per group set the culture. Do you have a plan for community managers (paid or volunteer)?</w:t>
      </w:r>
    </w:p>
    <w:p>
      <w:pPr>
        <w:pStyle w:val="ListParagraph"/>
        <w:numPr>
          <w:ilvl w:val="0"/>
          <w:numId w:val="2"/>
        </w:numPr>
        <w:spacing w:after="40" w:before="40"/>
      </w:pPr>
      <w:r>
        <w:rPr>
          <w:rFonts w:ascii="Arial" w:cs="Arial" w:eastAsia="Arial" w:hAnsi="Arial"/>
          <w:color w:val="1A1A1A"/>
          <w:sz w:val="22"/>
          <w:szCs w:val="22"/>
        </w:rPr>
        <w:t xml:space="preserve">What is the re-application strategy? Currently: reject and say 'try again when you have more experience.' But when? What does improvement look like? A rejected user who comes back and gets in is your most loyal member. Build a re-application flow with specific improvement guidance.</w:t>
      </w:r>
    </w:p>
    <w:p>
      <w:pPr>
        <w:pStyle w:val="ListParagraph"/>
        <w:numPr>
          <w:ilvl w:val="0"/>
          <w:numId w:val="2"/>
        </w:numPr>
        <w:spacing w:after="40" w:before="40"/>
      </w:pPr>
      <w:r>
        <w:rPr>
          <w:rFonts w:ascii="Arial" w:cs="Arial" w:eastAsia="Arial" w:hAnsi="Arial"/>
          <w:color w:val="1A1A1A"/>
          <w:sz w:val="22"/>
          <w:szCs w:val="22"/>
        </w:rPr>
        <w:t xml:space="preserve">What happens when a community has 1,000 members? At scale, 'verified peer group' breaks unless you add sub-groups, seniority tiers, or cohort mechanics. Plan for this before it becomes a crisis.</w:t>
      </w:r>
    </w:p>
    <w:p>
      <w:pPr>
        <w:pStyle w:val="ListParagraph"/>
        <w:numPr>
          <w:ilvl w:val="0"/>
          <w:numId w:val="2"/>
        </w:numPr>
        <w:spacing w:after="40" w:before="40"/>
      </w:pPr>
      <w:r>
        <w:rPr>
          <w:rFonts w:ascii="Arial" w:cs="Arial" w:eastAsia="Arial" w:hAnsi="Arial"/>
          <w:color w:val="1A1A1A"/>
          <w:sz w:val="22"/>
          <w:szCs w:val="22"/>
        </w:rPr>
        <w:t xml:space="preserve">Are your 8 groups the right 8? Product, Marketing, Engineering, Design, Finance, Operations, Sales, Data — but what about Legal? People Management? Founders? VC/PE? The choice of groups signals who Mentor is for. Be intentional.</w:t>
      </w:r>
    </w:p>
    <w:p>
      <w:pPr>
        <w:pStyle w:val="ListParagraph"/>
        <w:numPr>
          <w:ilvl w:val="0"/>
          <w:numId w:val="2"/>
        </w:numPr>
        <w:spacing w:after="40" w:before="40"/>
      </w:pPr>
      <w:r>
        <w:rPr>
          <w:rFonts w:ascii="Arial" w:cs="Arial" w:eastAsia="Arial" w:hAnsi="Arial"/>
          <w:color w:val="1A1A1A"/>
          <w:sz w:val="22"/>
          <w:szCs w:val="22"/>
        </w:rPr>
        <w:t xml:space="preserve">How does Mentor make money? Freemium with group access free, premium features paid? Employer access to the member directory? Event ticketing? Recruiters paying for verified candidate access? You need a model that does not compromise community trust.</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7.2 Product Loopholes</w:t>
      </w:r>
    </w:p>
    <w:p>
      <w:pPr>
        <w:spacing w:after="0" w:before="40"/>
      </w:pPr>
      <w:r>
        <w:t xml:space="preserve"/>
      </w:r>
    </w:p>
    <w:p>
      <w:pPr>
        <w:pStyle w:val="ListParagraph"/>
        <w:numPr>
          <w:ilvl w:val="0"/>
          <w:numId w:val="2"/>
        </w:numPr>
        <w:spacing w:after="40" w:before="40"/>
      </w:pPr>
      <w:r>
        <w:rPr>
          <w:rFonts w:ascii="Arial" w:cs="Arial" w:eastAsia="Arial" w:hAnsi="Arial"/>
          <w:color w:val="1A1A1A"/>
          <w:sz w:val="22"/>
          <w:szCs w:val="22"/>
        </w:rPr>
        <w:t xml:space="preserve">The AI can be gamed. Sophisticated users will craft answers to pass screening. Counter: add a 30-day probation period where group moderators can flag new members. Combine AI pre-screening with human spot-checks at 50+ members/group.</w:t>
      </w:r>
    </w:p>
    <w:p>
      <w:pPr>
        <w:pStyle w:val="ListParagraph"/>
        <w:numPr>
          <w:ilvl w:val="0"/>
          <w:numId w:val="2"/>
        </w:numPr>
        <w:spacing w:after="40" w:before="40"/>
      </w:pPr>
      <w:r>
        <w:rPr>
          <w:rFonts w:ascii="Arial" w:cs="Arial" w:eastAsia="Arial" w:hAnsi="Arial"/>
          <w:color w:val="1A1A1A"/>
          <w:sz w:val="22"/>
          <w:szCs w:val="22"/>
        </w:rPr>
        <w:t xml:space="preserve">Verified at what point in time? A member screened today as 'Senior PM at Razorpay' could be unemployed next month. Build an annual re-verification nudge. Employment status changes. Community quality depends on current relevance, not past credentials.</w:t>
      </w:r>
    </w:p>
    <w:p>
      <w:pPr>
        <w:pStyle w:val="ListParagraph"/>
        <w:numPr>
          <w:ilvl w:val="0"/>
          <w:numId w:val="2"/>
        </w:numPr>
        <w:spacing w:after="40" w:before="40"/>
      </w:pPr>
      <w:r>
        <w:rPr>
          <w:rFonts w:ascii="Arial" w:cs="Arial" w:eastAsia="Arial" w:hAnsi="Arial"/>
          <w:color w:val="1A1A1A"/>
          <w:sz w:val="22"/>
          <w:szCs w:val="22"/>
        </w:rPr>
        <w:t xml:space="preserve">The feed is only as good as the least engaged member. If 80% of members are lurkers (industry average is 90/9/1 — 90% consume, 9% comment, 1% create), the feed dies. You need a content seeding strategy. Founders, community managers, or power users must own early content creation.</w:t>
      </w:r>
    </w:p>
    <w:p>
      <w:pPr>
        <w:pStyle w:val="ListParagraph"/>
        <w:numPr>
          <w:ilvl w:val="0"/>
          <w:numId w:val="2"/>
        </w:numPr>
        <w:spacing w:after="40" w:before="40"/>
      </w:pPr>
      <w:r>
        <w:rPr>
          <w:rFonts w:ascii="Arial" w:cs="Arial" w:eastAsia="Arial" w:hAnsi="Arial"/>
          <w:color w:val="1A1A1A"/>
          <w:sz w:val="22"/>
          <w:szCs w:val="22"/>
        </w:rPr>
        <w:t xml:space="preserve">Cross-community contamination. A Product community member can apply to the Marketing community and get in if they qualify. Is that good (more connections) or bad (dilutes role specificity)? Decide now. Our recommendation: allow membership in up to 2 communities, surface posts from primary community by default.</w:t>
      </w:r>
    </w:p>
    <w:p>
      <w:pPr>
        <w:pStyle w:val="ListParagraph"/>
        <w:numPr>
          <w:ilvl w:val="0"/>
          <w:numId w:val="2"/>
        </w:numPr>
        <w:spacing w:after="40" w:before="40"/>
      </w:pPr>
      <w:r>
        <w:rPr>
          <w:rFonts w:ascii="Arial" w:cs="Arial" w:eastAsia="Arial" w:hAnsi="Arial"/>
          <w:color w:val="1A1A1A"/>
          <w:sz w:val="22"/>
          <w:szCs w:val="22"/>
        </w:rPr>
        <w:t xml:space="preserve">No onboarding for approved members. The current flow gets users approved and sends them to /communities/[slug]. Then what? The first 10 minutes of community membership determines long-term retention. Build a 3-step new member onboarding: introduce yourself, find 3 members to follow, post your first question.</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7.3 Business and Growth Gaps</w:t>
      </w:r>
    </w:p>
    <w:p>
      <w:pPr>
        <w:spacing w:after="0" w:before="40"/>
      </w:pPr>
      <w:r>
        <w:t xml:space="preserve"/>
      </w:r>
    </w:p>
    <w:p>
      <w:pPr>
        <w:pStyle w:val="ListParagraph"/>
        <w:numPr>
          <w:ilvl w:val="0"/>
          <w:numId w:val="2"/>
        </w:numPr>
        <w:spacing w:after="40" w:before="40"/>
      </w:pPr>
      <w:r>
        <w:rPr>
          <w:rFonts w:ascii="Arial" w:cs="Arial" w:eastAsia="Arial" w:hAnsi="Arial"/>
          <w:color w:val="1A1A1A"/>
          <w:sz w:val="22"/>
          <w:szCs w:val="22"/>
        </w:rPr>
        <w:t xml:space="preserve">No referral loop for new members. Every approved member should be given 3 invite tokens for peers they believe would pass screening. Curated invites grow faster than open applications and maintain quality signal.</w:t>
      </w:r>
    </w:p>
    <w:p>
      <w:pPr>
        <w:pStyle w:val="ListParagraph"/>
        <w:numPr>
          <w:ilvl w:val="0"/>
          <w:numId w:val="2"/>
        </w:numPr>
        <w:spacing w:after="40" w:before="40"/>
      </w:pPr>
      <w:r>
        <w:rPr>
          <w:rFonts w:ascii="Arial" w:cs="Arial" w:eastAsia="Arial" w:hAnsi="Arial"/>
          <w:color w:val="1A1A1A"/>
          <w:sz w:val="22"/>
          <w:szCs w:val="22"/>
        </w:rPr>
        <w:t xml:space="preserve">No employer or recruiter story. The most defensible revenue in this space is: recruiters and hiring managers pay to access a pool of verified, engaged professionals. Blind's revenue was largely employer research. Levels.fyi sells compensation benchmarks to employers. What does Mentor sell to companies?</w:t>
      </w:r>
    </w:p>
    <w:p>
      <w:pPr>
        <w:pStyle w:val="ListParagraph"/>
        <w:numPr>
          <w:ilvl w:val="0"/>
          <w:numId w:val="2"/>
        </w:numPr>
        <w:spacing w:after="40" w:before="40"/>
      </w:pPr>
      <w:r>
        <w:rPr>
          <w:rFonts w:ascii="Arial" w:cs="Arial" w:eastAsia="Arial" w:hAnsi="Arial"/>
          <w:color w:val="1A1A1A"/>
          <w:sz w:val="22"/>
          <w:szCs w:val="22"/>
        </w:rPr>
        <w:t xml:space="preserve">The India-first angle is underexploited. No competitor has built a truly premium product for the Indian professional market. This is not a weakness — it is the biggest opportunity. But 'India-first' must show up in the product: INR pricing, Indian company examples, reference to Indian career trajectories (IIT/IIM graduate vs. non-pedigree overachiever, etc.).</w:t>
      </w:r>
    </w:p>
    <w:p>
      <w:pPr>
        <w:pStyle w:val="ListParagraph"/>
        <w:numPr>
          <w:ilvl w:val="0"/>
          <w:numId w:val="2"/>
        </w:numPr>
        <w:spacing w:after="40" w:before="40"/>
      </w:pPr>
      <w:r>
        <w:rPr>
          <w:rFonts w:ascii="Arial" w:cs="Arial" w:eastAsia="Arial" w:hAnsi="Arial"/>
          <w:color w:val="1A1A1A"/>
          <w:sz w:val="22"/>
          <w:szCs w:val="22"/>
        </w:rPr>
        <w:t xml:space="preserve">No public credibility signals. How does someone discover Mentor? If the product is fully gated, there is no organic growth loop. Build a public-facing 'State of the Profession' report published quarterly — anonymous aggregated data from the community. This is how Levels.fyi grew. It gives journalists and LinkedIn posters something to link to.</w:t>
      </w:r>
    </w:p>
    <w:p>
      <w:pPr>
        <w:pStyle w:val="ListParagraph"/>
        <w:numPr>
          <w:ilvl w:val="0"/>
          <w:numId w:val="2"/>
        </w:numPr>
        <w:spacing w:after="40" w:before="40"/>
      </w:pPr>
      <w:r>
        <w:rPr>
          <w:rFonts w:ascii="Arial" w:cs="Arial" w:eastAsia="Arial" w:hAnsi="Arial"/>
          <w:color w:val="1A1A1A"/>
          <w:sz w:val="22"/>
          <w:szCs w:val="22"/>
        </w:rPr>
        <w:t xml:space="preserve">No retention metric defined. What does 'active member' mean? Weekly active (posts or comments), monthly active (reads)? Set the definition now so you can measure whether the community is alive or dying before it is too late.</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7.4 Design and UX Gaps</w:t>
      </w:r>
    </w:p>
    <w:p>
      <w:pPr>
        <w:spacing w:after="0" w:before="40"/>
      </w:pPr>
      <w:r>
        <w:t xml:space="preserve"/>
      </w:r>
    </w:p>
    <w:p>
      <w:pPr>
        <w:pStyle w:val="ListParagraph"/>
        <w:numPr>
          <w:ilvl w:val="0"/>
          <w:numId w:val="2"/>
        </w:numPr>
        <w:spacing w:after="40" w:before="40"/>
      </w:pPr>
      <w:r>
        <w:rPr>
          <w:rFonts w:ascii="Arial" w:cs="Arial" w:eastAsia="Arial" w:hAnsi="Arial"/>
          <w:color w:val="1A1A1A"/>
          <w:sz w:val="22"/>
          <w:szCs w:val="22"/>
        </w:rPr>
        <w:t xml:space="preserve">No mobile-first experience for core use cases. Reading posts in a channel, applying for a job, checking your application status — these happen on phones. The current build feels web-first. Mobile should feel like a native app, not a responsive website.</w:t>
      </w:r>
    </w:p>
    <w:p>
      <w:pPr>
        <w:pStyle w:val="ListParagraph"/>
        <w:numPr>
          <w:ilvl w:val="0"/>
          <w:numId w:val="2"/>
        </w:numPr>
        <w:spacing w:after="40" w:before="40"/>
      </w:pPr>
      <w:r>
        <w:rPr>
          <w:rFonts w:ascii="Arial" w:cs="Arial" w:eastAsia="Arial" w:hAnsi="Arial"/>
          <w:color w:val="1A1A1A"/>
          <w:sz w:val="22"/>
          <w:szCs w:val="22"/>
        </w:rPr>
        <w:t xml:space="preserve">The channel structure (Discussions, Upskilling, Referrals, Job Board) is logical but not emotional. Rename channels to reflect behaviour: 'War Room' for discussions, 'Library' for upskilling, 'Warm Intros' for referrals, 'Open Roles' for jobs. Language signals culture.</w:t>
      </w:r>
    </w:p>
    <w:p>
      <w:pPr>
        <w:pStyle w:val="ListParagraph"/>
        <w:numPr>
          <w:ilvl w:val="0"/>
          <w:numId w:val="2"/>
        </w:numPr>
        <w:spacing w:after="40" w:before="40"/>
      </w:pPr>
      <w:r>
        <w:rPr>
          <w:rFonts w:ascii="Arial" w:cs="Arial" w:eastAsia="Arial" w:hAnsi="Arial"/>
          <w:color w:val="1A1A1A"/>
          <w:sz w:val="22"/>
          <w:szCs w:val="22"/>
        </w:rPr>
        <w:t xml:space="preserve">No achievements or visible milestones. Overachievers respond to visible progress. Show: 'Member since April 2026 — 3 referrals given — 1 job found via Mentor'. These are status signals that encourage behaviour.</w:t>
      </w:r>
    </w:p>
    <w:p>
      <w:pPr>
        <w:pStyle w:val="ListParagraph"/>
        <w:numPr>
          <w:ilvl w:val="0"/>
          <w:numId w:val="2"/>
        </w:numPr>
        <w:spacing w:after="40" w:before="40"/>
      </w:pPr>
      <w:r>
        <w:rPr>
          <w:rFonts w:ascii="Arial" w:cs="Arial" w:eastAsia="Arial" w:hAnsi="Arial"/>
          <w:color w:val="1A1A1A"/>
          <w:sz w:val="22"/>
          <w:szCs w:val="22"/>
        </w:rPr>
        <w:t xml:space="preserve">The AI rejection feedback is a retention moment being wasted. A rejected applicant who receives specific, personalised feedback is far more likely to re-apply (and succeed) than one who gets a generic decline. The AI already produces feedback — make it the most carefully designed screen in the product.</w:t>
      </w:r>
    </w:p>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8. Recommended Immediate Actions</w:t>
      </w:r>
    </w:p>
    <w:p>
      <w:pPr>
        <w:spacing w:after="120" w:before="80"/>
      </w:pPr>
      <w:r>
        <w:rPr>
          <w:rFonts w:ascii="Arial" w:cs="Arial" w:eastAsia="Arial" w:hAnsi="Arial"/>
          <w:i/>
          <w:iCs/>
          <w:color w:val="374151"/>
          <w:sz w:val="24"/>
          <w:szCs w:val="24"/>
        </w:rPr>
        <w:t xml:space="preserve">Rank-ordered by impact and feasibility. Do not build any of these without a way to measure outcome.</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8.1 This Week</w:t>
      </w:r>
    </w:p>
    <w:p>
      <w:pPr>
        <w:spacing w:after="0" w:before="40"/>
      </w:pPr>
      <w:r>
        <w:t xml:space="preserve"/>
      </w:r>
    </w:p>
    <w:p>
      <w:pPr>
        <w:pStyle w:val="ListParagraph"/>
        <w:numPr>
          <w:ilvl w:val="0"/>
          <w:numId w:val="3"/>
        </w:numPr>
        <w:spacing w:after="60" w:before="60"/>
      </w:pPr>
      <w:r>
        <w:rPr>
          <w:rFonts w:ascii="Arial" w:cs="Arial" w:eastAsia="Arial" w:hAnsi="Arial"/>
          <w:sz w:val="22"/>
          <w:szCs w:val="22"/>
        </w:rPr>
        <w:t xml:space="preserve">Dark mode as default. Single CSS variable change. Signals seriousness immediately.</w:t>
      </w:r>
    </w:p>
    <w:p>
      <w:pPr>
        <w:pStyle w:val="ListParagraph"/>
        <w:numPr>
          <w:ilvl w:val="0"/>
          <w:numId w:val="3"/>
        </w:numPr>
        <w:spacing w:after="60" w:before="60"/>
      </w:pPr>
      <w:r>
        <w:rPr>
          <w:rFonts w:ascii="Arial" w:cs="Arial" w:eastAsia="Arial" w:hAnsi="Arial"/>
          <w:sz w:val="22"/>
          <w:szCs w:val="22"/>
        </w:rPr>
        <w:t xml:space="preserve">Remove or hide every feature that has no group context: standalone feed, open resume builder, mock interview entry point. Simplify the nav to: Groups, Messages, Profile.</w:t>
      </w:r>
    </w:p>
    <w:p>
      <w:pPr>
        <w:pStyle w:val="ListParagraph"/>
        <w:numPr>
          <w:ilvl w:val="0"/>
          <w:numId w:val="3"/>
        </w:numPr>
        <w:spacing w:after="60" w:before="60"/>
      </w:pPr>
      <w:r>
        <w:rPr>
          <w:rFonts w:ascii="Arial" w:cs="Arial" w:eastAsia="Arial" w:hAnsi="Arial"/>
          <w:sz w:val="22"/>
          <w:szCs w:val="22"/>
        </w:rPr>
        <w:t xml:space="preserve">Rewrite every empty state to be copy-led with a specific value promise rather than an illustration or generic prompt.</w:t>
      </w:r>
    </w:p>
    <w:p>
      <w:pPr>
        <w:pStyle w:val="ListParagraph"/>
        <w:numPr>
          <w:ilvl w:val="0"/>
          <w:numId w:val="3"/>
        </w:numPr>
        <w:spacing w:after="60" w:before="60"/>
      </w:pPr>
      <w:r>
        <w:rPr>
          <w:rFonts w:ascii="Arial" w:cs="Arial" w:eastAsia="Arial" w:hAnsi="Arial"/>
          <w:sz w:val="22"/>
          <w:szCs w:val="22"/>
        </w:rPr>
        <w:t xml:space="preserve">Run migration 014 to activate the full gated group system end-to-end.</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8.2 This Month</w:t>
      </w:r>
    </w:p>
    <w:p>
      <w:pPr>
        <w:spacing w:after="0" w:before="40"/>
      </w:pPr>
      <w:r>
        <w:t xml:space="preserve"/>
      </w:r>
    </w:p>
    <w:p>
      <w:pPr>
        <w:pStyle w:val="ListParagraph"/>
        <w:numPr>
          <w:ilvl w:val="0"/>
          <w:numId w:val="3"/>
        </w:numPr>
        <w:spacing w:after="60" w:before="60"/>
      </w:pPr>
      <w:r>
        <w:rPr>
          <w:rFonts w:ascii="Arial" w:cs="Arial" w:eastAsia="Arial" w:hAnsi="Arial"/>
          <w:sz w:val="22"/>
          <w:szCs w:val="22"/>
        </w:rPr>
        <w:t xml:space="preserve">Build the new member onboarding sequence inside approved communities (introduce yourself, find 3 peers, post first question).</w:t>
      </w:r>
    </w:p>
    <w:p>
      <w:pPr>
        <w:pStyle w:val="ListParagraph"/>
        <w:numPr>
          <w:ilvl w:val="0"/>
          <w:numId w:val="3"/>
        </w:numPr>
        <w:spacing w:after="60" w:before="60"/>
      </w:pPr>
      <w:r>
        <w:rPr>
          <w:rFonts w:ascii="Arial" w:cs="Arial" w:eastAsia="Arial" w:hAnsi="Arial"/>
          <w:sz w:val="22"/>
          <w:szCs w:val="22"/>
        </w:rPr>
        <w:t xml:space="preserve">Add re-application flow with specific improvement guidance from the AI rejection feedback.</w:t>
      </w:r>
    </w:p>
    <w:p>
      <w:pPr>
        <w:pStyle w:val="ListParagraph"/>
        <w:numPr>
          <w:ilvl w:val="0"/>
          <w:numId w:val="3"/>
        </w:numPr>
        <w:spacing w:after="60" w:before="60"/>
      </w:pPr>
      <w:r>
        <w:rPr>
          <w:rFonts w:ascii="Arial" w:cs="Arial" w:eastAsia="Arial" w:hAnsi="Arial"/>
          <w:sz w:val="22"/>
          <w:szCs w:val="22"/>
        </w:rPr>
        <w:t xml:space="preserve">Implement the member invite token system (3 per approved member).</w:t>
      </w:r>
    </w:p>
    <w:p>
      <w:pPr>
        <w:pStyle w:val="ListParagraph"/>
        <w:numPr>
          <w:ilvl w:val="0"/>
          <w:numId w:val="3"/>
        </w:numPr>
        <w:spacing w:after="60" w:before="60"/>
      </w:pPr>
      <w:r>
        <w:rPr>
          <w:rFonts w:ascii="Arial" w:cs="Arial" w:eastAsia="Arial" w:hAnsi="Arial"/>
          <w:sz w:val="22"/>
          <w:szCs w:val="22"/>
        </w:rPr>
        <w:t xml:space="preserve">Define and instrument your North Star metric (e.g., 'career actions per member per month': referrals, job applications, peer introductions).</w:t>
      </w:r>
    </w:p>
    <w:p>
      <w:pPr>
        <w:spacing w:after="0" w:before="60"/>
      </w:pPr>
      <w:r>
        <w:t xml:space="preserve"/>
      </w:r>
    </w:p>
    <w:p>
      <w:pPr>
        <w:pStyle w:val="Heading2"/>
        <w:spacing w:after="100" w:before="280"/>
      </w:pPr>
      <w:r>
        <w:rPr>
          <w:rFonts w:ascii="Arial" w:cs="Arial" w:eastAsia="Arial" w:hAnsi="Arial"/>
          <w:b/>
          <w:bCs/>
          <w:color w:val="374151"/>
          <w:sz w:val="28"/>
          <w:szCs w:val="28"/>
        </w:rPr>
        <w:t xml:space="preserve">8.3 Next Quarter</w:t>
      </w:r>
    </w:p>
    <w:p>
      <w:pPr>
        <w:spacing w:after="0" w:before="40"/>
      </w:pPr>
      <w:r>
        <w:t xml:space="preserve"/>
      </w:r>
    </w:p>
    <w:p>
      <w:pPr>
        <w:pStyle w:val="ListParagraph"/>
        <w:numPr>
          <w:ilvl w:val="0"/>
          <w:numId w:val="3"/>
        </w:numPr>
        <w:spacing w:after="60" w:before="60"/>
      </w:pPr>
      <w:r>
        <w:rPr>
          <w:rFonts w:ascii="Arial" w:cs="Arial" w:eastAsia="Arial" w:hAnsi="Arial"/>
          <w:sz w:val="22"/>
          <w:szCs w:val="22"/>
        </w:rPr>
        <w:t xml:space="preserve">Design and publish the first 'State of Careers in India' report — aggregated, anonymous data from community members. This is your organic growth and credibility engine.</w:t>
      </w:r>
    </w:p>
    <w:p>
      <w:pPr>
        <w:pStyle w:val="ListParagraph"/>
        <w:numPr>
          <w:ilvl w:val="0"/>
          <w:numId w:val="3"/>
        </w:numPr>
        <w:spacing w:after="60" w:before="60"/>
      </w:pPr>
      <w:r>
        <w:rPr>
          <w:rFonts w:ascii="Arial" w:cs="Arial" w:eastAsia="Arial" w:hAnsi="Arial"/>
          <w:sz w:val="22"/>
          <w:szCs w:val="22"/>
        </w:rPr>
        <w:t xml:space="preserve">Build the employer/recruiter access product: verified candidate pool with career outcomes data. This is where revenue lives.</w:t>
      </w:r>
    </w:p>
    <w:p>
      <w:pPr>
        <w:pStyle w:val="ListParagraph"/>
        <w:numPr>
          <w:ilvl w:val="0"/>
          <w:numId w:val="3"/>
        </w:numPr>
        <w:spacing w:after="60" w:before="60"/>
      </w:pPr>
      <w:r>
        <w:rPr>
          <w:rFonts w:ascii="Arial" w:cs="Arial" w:eastAsia="Arial" w:hAnsi="Arial"/>
          <w:sz w:val="22"/>
          <w:szCs w:val="22"/>
        </w:rPr>
        <w:t xml:space="preserve">Run first IRL community event per city (start with Bangalore and Mumbai). 50 verified members, practitioner speaker, no sponsors cluttering the brand.</w:t>
      </w:r>
    </w:p>
    <w:p>
      <w:pPr>
        <w:spacing w:after="0" w:before="120"/>
      </w:pPr>
      <w:r>
        <w:t xml:space="preserve"/>
      </w:r>
    </w:p>
    <w:p>
      <w:pPr>
        <w:pageBreakBefore/>
      </w:pPr>
      <w:r>
        <w:t xml:space="preserve"/>
      </w:r>
    </w:p>
    <w:p>
      <w:pPr>
        <w:pStyle w:val="Heading1"/>
        <w:pBdr>
          <w:bottom w:val="single" w:color="064E3B" w:sz="12"/>
        </w:pBdr>
        <w:spacing w:after="120" w:before="360"/>
      </w:pPr>
      <w:r>
        <w:rPr>
          <w:rFonts w:ascii="Arial" w:cs="Arial" w:eastAsia="Arial" w:hAnsi="Arial"/>
          <w:b/>
          <w:bCs/>
          <w:color w:val="064E3B"/>
          <w:sz w:val="36"/>
          <w:szCs w:val="36"/>
        </w:rPr>
        <w:t xml:space="preserve">9. The Bet</w:t>
      </w:r>
    </w:p>
    <w:p>
      <w:pPr>
        <w:spacing w:after="0" w:before="40"/>
      </w:pPr>
      <w:r>
        <w:t xml:space="preserve"/>
      </w:r>
    </w:p>
    <w:p>
      <w:pPr>
        <w:spacing w:after="100" w:before="60"/>
      </w:pPr>
      <w:r>
        <w:rPr>
          <w:rFonts w:ascii="Arial" w:cs="Arial" w:eastAsia="Arial" w:hAnsi="Arial"/>
          <w:color w:val="1A1A1A"/>
          <w:sz w:val="22"/>
          <w:szCs w:val="22"/>
        </w:rPr>
        <w:t xml:space="preserve">The entire professional networking market is built on the assumption that more connections equal more value. LinkedIn has 1 billion connections and has produced a culture where no one trusts anything they read on the platform.</w:t>
      </w:r>
    </w:p>
    <w:p>
      <w:pPr>
        <w:spacing w:after="0" w:before="40"/>
      </w:pPr>
      <w:r>
        <w:t xml:space="preserve"/>
      </w:r>
    </w:p>
    <w:p>
      <w:pPr>
        <w:spacing w:after="100" w:before="60"/>
      </w:pPr>
      <w:r>
        <w:rPr>
          <w:rFonts w:ascii="Arial" w:cs="Arial" w:eastAsia="Arial" w:hAnsi="Arial"/>
          <w:color w:val="1A1A1A"/>
          <w:sz w:val="22"/>
          <w:szCs w:val="22"/>
        </w:rPr>
        <w:t xml:space="preserve">Mentor's bet is the opposite: fewer connections, higher trust, real outcomes. Every product decision should be tested against this question: does this increase trust or does it increase noise?</w:t>
      </w:r>
    </w:p>
    <w:p>
      <w:pPr>
        <w:spacing w:after="0" w:before="40"/>
      </w:pPr>
      <w:r>
        <w:t xml:space="preserve"/>
      </w:r>
    </w:p>
    <w:p>
      <w:pPr>
        <w:spacing w:after="100" w:before="60"/>
      </w:pPr>
      <w:r>
        <w:rPr>
          <w:rFonts w:ascii="Arial" w:cs="Arial" w:eastAsia="Arial" w:hAnsi="Arial"/>
          <w:color w:val="1A1A1A"/>
          <w:sz w:val="22"/>
          <w:szCs w:val="22"/>
        </w:rPr>
        <w:t xml:space="preserve">The platforms that win in the next decade will not be the ones with the most users. They will be the ones with the most trusted users. That is the race Mentor should be running.</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64E3B" w:val="clear"/>
            <w:tcMar>
              <w:top w:type="dxa" w:w="280"/>
              <w:left w:type="dxa" w:w="480"/>
              <w:bottom w:type="dxa" w:w="280"/>
              <w:right w:type="dxa" w:w="480"/>
            </w:tcMar>
          </w:tcPr>
          <w:p>
            <w:pPr>
              <w:jc w:val="center"/>
            </w:pPr>
            <w:r>
              <w:rPr>
                <w:rFonts w:ascii="Arial" w:cs="Arial" w:eastAsia="Arial" w:hAnsi="Arial"/>
                <w:b/>
                <w:bCs/>
                <w:color w:val="FFFFFF"/>
                <w:sz w:val="30"/>
                <w:szCs w:val="30"/>
              </w:rPr>
              <w:t xml:space="preserve">Trust is the product. Everything else is a feature.</w:t>
            </w:r>
          </w:p>
        </w:tc>
      </w:tr>
    </w:tbl>
    <w:p>
      <w:pPr>
        <w:spacing w:after="0" w:before="200"/>
      </w:pPr>
      <w:r>
        <w:t xml:space="preserve"/>
      </w:r>
    </w:p>
    <w:p>
      <w:pPr>
        <w:spacing w:after="100" w:before="60"/>
      </w:pPr>
      <w:r>
        <w:rPr>
          <w:rFonts w:ascii="Arial" w:cs="Arial" w:eastAsia="Arial" w:hAnsi="Arial"/>
          <w:i/>
          <w:iCs/>
          <w:color w:val="6B7280"/>
          <w:sz w:val="22"/>
          <w:szCs w:val="22"/>
        </w:rPr>
        <w:t xml:space="preserve">Prepared for Mentor — April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pBd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64E3B" w:sz="8"/>
      </w:pBdr>
      <w:tabs>
        <w:tab w:val="right" w:pos="9360"/>
      </w:tabs>
    </w:pPr>
    <w:r>
      <w:rPr>
        <w:rFonts w:ascii="Arial" w:cs="Arial" w:eastAsia="Arial" w:hAnsi="Arial"/>
        <w:b/>
        <w:bCs/>
        <w:color w:val="064E3B"/>
        <w:sz w:val="18"/>
        <w:szCs w:val="18"/>
      </w:rPr>
      <w:t xml:space="preserve">MENTOR — CONFIDENTIAL STRATEGIC BRIEF</w:t>
    </w:r>
    <w:r>
      <w:rPr>
        <w:rFonts w:ascii="Arial" w:cs="Arial" w:eastAsia="Arial" w:hAnsi="Arial"/>
      </w:rPr>
      <w:t xml:space="preserve">	</w:t>
    </w:r>
    <w:r>
      <w:rPr>
        <w:rFonts w:ascii="Arial" w:cs="Arial" w:eastAsia="Arial" w:hAnsi="Arial"/>
        <w:color w:val="6B7280"/>
        <w:sz w:val="18"/>
        <w:szCs w:val="18"/>
      </w:rPr>
      <w:t xml:space="preserve">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64E3B"/>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374151"/>
      <w:sz w:val="28"/>
      <w:szCs w:val="28"/>
    </w:rPr>
  </w:style>
  <w:style w:type="paragraph" w:styleId="Heading3">
    <w:name w:val="Heading 3"/>
    <w:basedOn w:val="Normal"/>
    <w:next w:val="Normal"/>
    <w:qFormat/>
    <w:pPr>
      <w:spacing w:after="80" w:before="200"/>
      <w:outlineLvl w:val="2"/>
    </w:pPr>
    <w:rPr>
      <w:rFonts w:ascii="Arial" w:cs="Arial" w:eastAsia="Arial" w:hAnsi="Arial"/>
      <w:b/>
      <w:bCs/>
      <w:color w:val="065F4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2026-04-09T07:21:33.301Z</dcterms:created>
  <dcterms:modified xsi:type="dcterms:W3CDTF">2026-04-09T07:21:33.301Z</dcterms:modified>
</cp:coreProperties>
</file>

<file path=docProps/custom.xml><?xml version="1.0" encoding="utf-8"?>
<Properties xmlns="http://schemas.openxmlformats.org/officeDocument/2006/custom-properties" xmlns:vt="http://schemas.openxmlformats.org/officeDocument/2006/docPropsVTypes"/>
</file>