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E8FDF" w14:textId="679897E0" w:rsidR="002B26A2" w:rsidRPr="00067672" w:rsidRDefault="002B26A2" w:rsidP="007F5EDD">
      <w:pPr>
        <w:jc w:val="center"/>
        <w:rPr>
          <w:b/>
          <w:bCs/>
          <w:sz w:val="24"/>
          <w:szCs w:val="24"/>
          <w:u w:val="single"/>
        </w:rPr>
      </w:pPr>
      <w:r w:rsidRPr="00067672">
        <w:rPr>
          <w:b/>
          <w:bCs/>
          <w:sz w:val="24"/>
          <w:szCs w:val="24"/>
          <w:u w:val="single"/>
        </w:rPr>
        <w:t xml:space="preserve">HCH </w:t>
      </w:r>
      <w:r w:rsidR="007F5EDD" w:rsidRPr="00067672">
        <w:rPr>
          <w:b/>
          <w:bCs/>
          <w:sz w:val="24"/>
          <w:szCs w:val="24"/>
          <w:u w:val="single"/>
        </w:rPr>
        <w:t>Annual Website Updates</w:t>
      </w:r>
    </w:p>
    <w:p w14:paraId="640747B6" w14:textId="3FEA6828" w:rsidR="007F5EDD" w:rsidRDefault="007F5EDD"/>
    <w:p w14:paraId="467595FB" w14:textId="4357E8E4" w:rsidR="007F5EDD" w:rsidRDefault="00067672">
      <w:r>
        <w:t>In addition to the websites linked below and replacement text, please do a search for any text that references 2024, and let me know which pages you find.</w:t>
      </w:r>
    </w:p>
    <w:p w14:paraId="4E10009A" w14:textId="77777777" w:rsidR="000A4D00" w:rsidRDefault="000A4D00"/>
    <w:p w14:paraId="0E3D3528" w14:textId="064CD1F0" w:rsidR="002B26A2" w:rsidRDefault="00FD27ED">
      <w:hyperlink r:id="rId4" w:history="1">
        <w:r w:rsidR="002B26A2">
          <w:rPr>
            <w:rStyle w:val="Hyperlink"/>
            <w:rFonts w:ascii="Montserrat" w:hAnsi="Montserrat"/>
            <w:color w:val="000000"/>
            <w:spacing w:val="7"/>
          </w:rPr>
          <w:t>Medicare Parts: A, B, and D</w:t>
        </w:r>
      </w:hyperlink>
    </w:p>
    <w:p w14:paraId="0F36DE25" w14:textId="7E8BDD80" w:rsidR="002B26A2" w:rsidRDefault="000A4D00">
      <w:pPr>
        <w:rPr>
          <w:i/>
          <w:iCs/>
        </w:rPr>
      </w:pPr>
      <w:r>
        <w:rPr>
          <w:i/>
          <w:iCs/>
        </w:rPr>
        <w:t>Search for the following text:</w:t>
      </w:r>
    </w:p>
    <w:p w14:paraId="1B02928F" w14:textId="4DB119E2" w:rsidR="000A4D00" w:rsidRPr="000A4D00" w:rsidRDefault="000A4D00">
      <w:pPr>
        <w:rPr>
          <w:i/>
          <w:iCs/>
        </w:rPr>
      </w:pPr>
      <w:r>
        <w:t>Part B has a monthly premium you must pay directly to Medicare, and it is mandatory. This premium varies each year. For 2024, the Part B premium is $174.70. If you fail to have Part B coverage, or equivalent coverage through an employer plan, Medicare will levy a permanent monthly penalty on your account.</w:t>
      </w:r>
    </w:p>
    <w:p w14:paraId="47BD73B2" w14:textId="16300F61" w:rsidR="002B26A2" w:rsidRPr="000A4D00" w:rsidRDefault="000A4D00">
      <w:pPr>
        <w:rPr>
          <w:i/>
          <w:iCs/>
        </w:rPr>
      </w:pPr>
      <w:r w:rsidRPr="000A4D00">
        <w:rPr>
          <w:i/>
          <w:iCs/>
        </w:rPr>
        <w:t>Replace the text above with:</w:t>
      </w:r>
    </w:p>
    <w:p w14:paraId="4CCAB6FC" w14:textId="3C64EB60" w:rsidR="000A4D00" w:rsidRDefault="000A4D00">
      <w:r>
        <w:t>Part B has a monthly premium you must pay directly to Medicare, and it is mandatory. This premium varies each year. For 2025, the Part B premium is $185. If you fail to have Part B coverage, or equivalent coverage through an employer plan, Medicare will levy a permanent monthly penalty on your account.</w:t>
      </w:r>
    </w:p>
    <w:p w14:paraId="68231A79" w14:textId="7A36E278" w:rsidR="002B26A2" w:rsidRDefault="00FD27ED">
      <w:hyperlink r:id="rId5" w:history="1">
        <w:r w:rsidR="002B26A2">
          <w:rPr>
            <w:rStyle w:val="Hyperlink"/>
            <w:rFonts w:ascii="Montserrat" w:hAnsi="Montserrat"/>
            <w:color w:val="000000"/>
            <w:spacing w:val="7"/>
          </w:rPr>
          <w:t>What are My Base Costs with Medicare?</w:t>
        </w:r>
      </w:hyperlink>
    </w:p>
    <w:p w14:paraId="21546884" w14:textId="77777777" w:rsidR="00605103" w:rsidRDefault="00605103" w:rsidP="00605103">
      <w:pPr>
        <w:rPr>
          <w:i/>
          <w:iCs/>
        </w:rPr>
      </w:pPr>
      <w:r>
        <w:rPr>
          <w:i/>
          <w:iCs/>
        </w:rPr>
        <w:t>Search for the following text:</w:t>
      </w:r>
    </w:p>
    <w:p w14:paraId="10D7079B" w14:textId="0FB67CE5" w:rsidR="002B26A2" w:rsidRDefault="00BE3D5A">
      <w:r>
        <w:t xml:space="preserve">Part B is mandatory and as of 2024, has a monthly premium payment of $174.70 directly to Social Security. You will be penalized if you do not have coverage equivalent to Part B once you are Medicare-eligible. If you are a high-income earner, you may be required to pay more than this amount per year. Please read on about the </w:t>
      </w:r>
      <w:hyperlink r:id="rId6" w:history="1">
        <w:r>
          <w:rPr>
            <w:rStyle w:val="Hyperlink"/>
          </w:rPr>
          <w:t>Income Related Monthly Adjustment Amount (IRMAA)</w:t>
        </w:r>
      </w:hyperlink>
      <w:r>
        <w:t>.</w:t>
      </w:r>
    </w:p>
    <w:p w14:paraId="683B4E77" w14:textId="4DB955E5" w:rsidR="00605103" w:rsidRPr="00605103" w:rsidRDefault="00605103">
      <w:pPr>
        <w:rPr>
          <w:i/>
          <w:iCs/>
        </w:rPr>
      </w:pPr>
      <w:r w:rsidRPr="000A4D00">
        <w:rPr>
          <w:i/>
          <w:iCs/>
        </w:rPr>
        <w:t>Replace the text above with:</w:t>
      </w:r>
    </w:p>
    <w:p w14:paraId="3A9A22CB" w14:textId="521908E1" w:rsidR="00605103" w:rsidRDefault="00BE3D5A">
      <w:r>
        <w:t xml:space="preserve">Part B is mandatory unless you have what Medicare deems Creditable Coverage once you are eligible for Medicare at age 65. As of 2025, Part B also has a monthly premium payment of $185, which you will pay directly to Medicare. </w:t>
      </w:r>
      <w:r w:rsidR="00E53A09">
        <w:t xml:space="preserve">Any other insurance you sign up for may have its own premium outside of the Part B premium. </w:t>
      </w:r>
      <w:r>
        <w:t xml:space="preserve">You will be penalized if </w:t>
      </w:r>
      <w:r w:rsidR="00E53A09">
        <w:t xml:space="preserve">you do not have Creditable Coverage or </w:t>
      </w:r>
      <w:r>
        <w:t xml:space="preserve">you do not </w:t>
      </w:r>
      <w:r w:rsidR="00E53A09">
        <w:t>enroll into Medicare Part B once you are eligible. Government-sponsored healthcare, such as COBRA or Affordable Care Act coverage are not considered creditable coverage, and you will be penalized if you remain with this coverage once you are Medicare eligible. Additionally, i</w:t>
      </w:r>
      <w:r>
        <w:t xml:space="preserve">f you are a high-income earner, you may be required to pay more than this amount per year. Please read on about the </w:t>
      </w:r>
      <w:hyperlink r:id="rId7" w:history="1">
        <w:r>
          <w:rPr>
            <w:rStyle w:val="Hyperlink"/>
          </w:rPr>
          <w:t>Income Related Monthly Adjustment Amount (IRMAA)</w:t>
        </w:r>
      </w:hyperlink>
      <w:r>
        <w:t>.</w:t>
      </w:r>
    </w:p>
    <w:p w14:paraId="269AFD72" w14:textId="4BB599B8" w:rsidR="002B26A2" w:rsidRDefault="00FD27ED">
      <w:hyperlink r:id="rId8" w:history="1">
        <w:r w:rsidR="002B26A2">
          <w:rPr>
            <w:rStyle w:val="Hyperlink"/>
            <w:rFonts w:ascii="Montserrat" w:hAnsi="Montserrat"/>
            <w:color w:val="000000"/>
            <w:spacing w:val="7"/>
          </w:rPr>
          <w:t>IRMAA</w:t>
        </w:r>
      </w:hyperlink>
    </w:p>
    <w:p w14:paraId="4164B44C" w14:textId="77777777" w:rsidR="00605103" w:rsidRDefault="00605103" w:rsidP="00605103">
      <w:pPr>
        <w:rPr>
          <w:i/>
          <w:iCs/>
        </w:rPr>
      </w:pPr>
      <w:r>
        <w:rPr>
          <w:i/>
          <w:iCs/>
        </w:rPr>
        <w:t>Search for the following text:</w:t>
      </w:r>
    </w:p>
    <w:p w14:paraId="5EA65C44" w14:textId="77777777" w:rsidR="00471244" w:rsidRDefault="00471244" w:rsidP="00471244">
      <w:r>
        <w:t xml:space="preserve">Social Security will increase the basic cost of your Medicare based on your earned income from two years ago. You will need to refer to your tax returns to ensure their calculations are accurate. For </w:t>
      </w:r>
      <w:r>
        <w:lastRenderedPageBreak/>
        <w:t>instance, if your annual income two years ago was higher than $103,000 as an individual tax filer, or $206,000 as a joint tax filer, you will have to pay more each month to Social Security for Part B and Part D.</w:t>
      </w:r>
    </w:p>
    <w:p w14:paraId="4F659F94" w14:textId="31287422" w:rsidR="00605103" w:rsidRDefault="00471244" w:rsidP="00471244">
      <w:r>
        <w:t>If you earned less than $103,000 individually OR $206,000 joint two years ago, then you would not be subject to IRMAA for this current year. But if your earnings last year exceeded this amount, then you would be subject to IRMAA next year. And if you plan to withdraw a large sum of money in the future, this may place you into the IRMAA category.</w:t>
      </w:r>
    </w:p>
    <w:p w14:paraId="481744EA" w14:textId="77777777" w:rsidR="000D77B8" w:rsidRPr="000D77B8" w:rsidRDefault="00FD27ED" w:rsidP="000D77B8">
      <w:pPr>
        <w:pStyle w:val="NormalWeb"/>
        <w:rPr>
          <w:rFonts w:asciiTheme="minorHAnsi" w:hAnsiTheme="minorHAnsi" w:cstheme="minorHAnsi"/>
          <w:sz w:val="22"/>
          <w:szCs w:val="22"/>
        </w:rPr>
      </w:pPr>
      <w:hyperlink r:id="rId9" w:history="1">
        <w:r w:rsidR="000D77B8" w:rsidRPr="000D77B8">
          <w:rPr>
            <w:rStyle w:val="Hyperlink"/>
            <w:rFonts w:asciiTheme="minorHAnsi" w:hAnsiTheme="minorHAnsi" w:cstheme="minorHAnsi"/>
            <w:sz w:val="22"/>
            <w:szCs w:val="22"/>
          </w:rPr>
          <w:t>Calculate your total costs here</w:t>
        </w:r>
      </w:hyperlink>
    </w:p>
    <w:p w14:paraId="08A7C4B0" w14:textId="77777777" w:rsidR="00605103" w:rsidRPr="00605103" w:rsidRDefault="00605103" w:rsidP="00605103">
      <w:pPr>
        <w:rPr>
          <w:i/>
          <w:iCs/>
        </w:rPr>
      </w:pPr>
      <w:r w:rsidRPr="000A4D00">
        <w:rPr>
          <w:i/>
          <w:iCs/>
        </w:rPr>
        <w:t>Replace the text above with:</w:t>
      </w:r>
    </w:p>
    <w:p w14:paraId="0CCDCB86" w14:textId="63889E0E" w:rsidR="00471244" w:rsidRDefault="00471244" w:rsidP="00471244">
      <w:r>
        <w:t>Social Security will increase the basic cost of your Medicare based on your earned income from two years ago. You will need to refer to your tax returns to ensure their calculations are accurate. For instance, if your annual income two years ago was higher than $106,000 as an individual tax filer, or $212,000 as a joint tax filer, you will have to pay more each month to Social Security for Part B and Part D.</w:t>
      </w:r>
    </w:p>
    <w:p w14:paraId="1191AF61" w14:textId="15C996DB" w:rsidR="00605103" w:rsidRDefault="00471244" w:rsidP="00471244">
      <w:r>
        <w:t>If you earned less than $106,000 individually OR less than $212,000 filing jointly two years ago, then you would not be subject to IRMAA for this current year. But if your earnings last year exceeded this amount, then you would be subject to IRMAA next year. And if you plan to withdraw a large sum of money in the future, this may place you into the IRMAA category.</w:t>
      </w:r>
    </w:p>
    <w:p w14:paraId="71AD0DE5" w14:textId="580934BF" w:rsidR="00471244" w:rsidRDefault="00471244" w:rsidP="00471244">
      <w:r>
        <w:t>Healthcare Helper offers assistance with reducing your IRMAA payment. Please contact us for information.</w:t>
      </w:r>
    </w:p>
    <w:p w14:paraId="74396371" w14:textId="4695AC6E" w:rsidR="00471244" w:rsidRDefault="00FD27ED" w:rsidP="00471244">
      <w:hyperlink r:id="rId10" w:history="1">
        <w:r w:rsidR="000D77B8" w:rsidRPr="000D77B8">
          <w:rPr>
            <w:rStyle w:val="Hyperlink"/>
            <w:rFonts w:cstheme="minorHAnsi"/>
          </w:rPr>
          <w:t>Calculate your total costs here</w:t>
        </w:r>
      </w:hyperlink>
    </w:p>
    <w:p w14:paraId="58254041" w14:textId="77777777" w:rsidR="00FD27ED" w:rsidRDefault="00FD27ED">
      <w:hyperlink r:id="rId11" w:history="1">
        <w:r>
          <w:rPr>
            <w:rStyle w:val="Hyperlink"/>
            <w:rFonts w:ascii="Montserrat" w:hAnsi="Montserrat"/>
            <w:color w:val="000000"/>
            <w:spacing w:val="7"/>
          </w:rPr>
          <w:t xml:space="preserve">Medicare Cost </w:t>
        </w:r>
        <w:proofErr w:type="spellStart"/>
        <w:r>
          <w:rPr>
            <w:rStyle w:val="Hyperlink"/>
            <w:rFonts w:ascii="Montserrat" w:hAnsi="Montserrat"/>
            <w:color w:val="000000"/>
            <w:spacing w:val="7"/>
          </w:rPr>
          <w:t>Calculator</w:t>
        </w:r>
      </w:hyperlink>
      <w:proofErr w:type="spellEnd"/>
    </w:p>
    <w:p w14:paraId="6A1D4AE7" w14:textId="77777777" w:rsidR="00FD27ED" w:rsidRDefault="00FD27ED" w:rsidP="00FD27ED">
      <w:pPr>
        <w:rPr>
          <w:i/>
          <w:iCs/>
        </w:rPr>
      </w:pPr>
      <w:r>
        <w:rPr>
          <w:i/>
          <w:iCs/>
        </w:rPr>
        <w:t>Search for the following text:</w:t>
      </w:r>
    </w:p>
    <w:p w14:paraId="4CCE0C32" w14:textId="51E3185E" w:rsidR="00FD27ED" w:rsidRPr="00FD27ED" w:rsidRDefault="00FD27ED">
      <w:pPr>
        <w:rPr>
          <w:rFonts w:cstheme="minorHAnsi"/>
        </w:rPr>
      </w:pPr>
      <w:r w:rsidRPr="00FD27ED">
        <w:rPr>
          <w:rFonts w:cstheme="minorHAnsi"/>
          <w:color w:val="212529"/>
          <w:spacing w:val="7"/>
          <w:shd w:val="clear" w:color="auto" w:fill="FFFFFF"/>
        </w:rPr>
        <w:t>Standard Part B Premium:</w:t>
      </w:r>
      <w:r>
        <w:rPr>
          <w:rFonts w:cstheme="minorHAnsi"/>
          <w:color w:val="212529"/>
          <w:spacing w:val="7"/>
          <w:shd w:val="clear" w:color="auto" w:fill="FFFFFF"/>
        </w:rPr>
        <w:t xml:space="preserve"> $174.70</w:t>
      </w:r>
    </w:p>
    <w:p w14:paraId="715AAE06" w14:textId="77777777" w:rsidR="00FD27ED" w:rsidRPr="00605103" w:rsidRDefault="00FD27ED" w:rsidP="00FD27ED">
      <w:pPr>
        <w:rPr>
          <w:i/>
          <w:iCs/>
        </w:rPr>
      </w:pPr>
      <w:r w:rsidRPr="000A4D00">
        <w:rPr>
          <w:i/>
          <w:iCs/>
        </w:rPr>
        <w:t>Replace the text above with:</w:t>
      </w:r>
    </w:p>
    <w:p w14:paraId="5086BA8E" w14:textId="365C47EB" w:rsidR="00FD27ED" w:rsidRPr="00FD27ED" w:rsidRDefault="00FD27ED" w:rsidP="00FD27ED">
      <w:pPr>
        <w:rPr>
          <w:rFonts w:cstheme="minorHAnsi"/>
        </w:rPr>
      </w:pPr>
      <w:r w:rsidRPr="00FD27ED">
        <w:rPr>
          <w:rFonts w:cstheme="minorHAnsi"/>
          <w:color w:val="212529"/>
          <w:spacing w:val="7"/>
          <w:shd w:val="clear" w:color="auto" w:fill="FFFFFF"/>
        </w:rPr>
        <w:t>Standard Part B Premium:</w:t>
      </w:r>
      <w:r>
        <w:rPr>
          <w:rFonts w:cstheme="minorHAnsi"/>
          <w:color w:val="212529"/>
          <w:spacing w:val="7"/>
          <w:shd w:val="clear" w:color="auto" w:fill="FFFFFF"/>
        </w:rPr>
        <w:t xml:space="preserve"> $1</w:t>
      </w:r>
      <w:r>
        <w:rPr>
          <w:rFonts w:cstheme="minorHAnsi"/>
          <w:color w:val="212529"/>
          <w:spacing w:val="7"/>
          <w:shd w:val="clear" w:color="auto" w:fill="FFFFFF"/>
        </w:rPr>
        <w:t>85</w:t>
      </w:r>
    </w:p>
    <w:p w14:paraId="6C0B7A91" w14:textId="77777777" w:rsidR="00FD27ED" w:rsidRDefault="00FD27ED"/>
    <w:p w14:paraId="55E26A85" w14:textId="6F3A7CB6" w:rsidR="00FD27ED" w:rsidRDefault="00FD27ED">
      <w:pPr>
        <w:rPr>
          <w:i/>
          <w:iCs/>
        </w:rPr>
      </w:pPr>
      <w:r>
        <w:rPr>
          <w:i/>
          <w:iCs/>
        </w:rPr>
        <w:t>T</w:t>
      </w:r>
      <w:r w:rsidRPr="00FD27ED">
        <w:rPr>
          <w:i/>
          <w:iCs/>
        </w:rPr>
        <w:t xml:space="preserve">he </w:t>
      </w:r>
      <w:r>
        <w:rPr>
          <w:i/>
          <w:iCs/>
        </w:rPr>
        <w:t xml:space="preserve">existing </w:t>
      </w:r>
      <w:r w:rsidRPr="00FD27ED">
        <w:rPr>
          <w:i/>
          <w:iCs/>
        </w:rPr>
        <w:t xml:space="preserve">formula matrix </w:t>
      </w:r>
      <w:r>
        <w:rPr>
          <w:i/>
          <w:iCs/>
        </w:rPr>
        <w:t>is as follows:</w:t>
      </w:r>
    </w:p>
    <w:tbl>
      <w:tblPr>
        <w:tblW w:w="10480" w:type="dxa"/>
        <w:tblLook w:val="04A0" w:firstRow="1" w:lastRow="0" w:firstColumn="1" w:lastColumn="0" w:noHBand="0" w:noVBand="1"/>
      </w:tblPr>
      <w:tblGrid>
        <w:gridCol w:w="2660"/>
        <w:gridCol w:w="3140"/>
        <w:gridCol w:w="1660"/>
        <w:gridCol w:w="1760"/>
        <w:gridCol w:w="1260"/>
      </w:tblGrid>
      <w:tr w:rsidR="00FD27ED" w:rsidRPr="00FD27ED" w14:paraId="09D8A01E" w14:textId="77777777" w:rsidTr="00FD27ED">
        <w:trPr>
          <w:trHeight w:val="1188"/>
        </w:trPr>
        <w:tc>
          <w:tcPr>
            <w:tcW w:w="2660" w:type="dxa"/>
            <w:tcBorders>
              <w:top w:val="nil"/>
              <w:left w:val="nil"/>
              <w:bottom w:val="nil"/>
              <w:right w:val="nil"/>
            </w:tcBorders>
            <w:shd w:val="clear" w:color="000000" w:fill="D9D9D9"/>
            <w:vAlign w:val="bottom"/>
            <w:hideMark/>
          </w:tcPr>
          <w:p w14:paraId="252D0731"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Beneficiaries who file individual tax returns with modified adjusted gross income:</w:t>
            </w:r>
          </w:p>
        </w:tc>
        <w:tc>
          <w:tcPr>
            <w:tcW w:w="3140" w:type="dxa"/>
            <w:tcBorders>
              <w:top w:val="nil"/>
              <w:left w:val="nil"/>
              <w:bottom w:val="nil"/>
              <w:right w:val="nil"/>
            </w:tcBorders>
            <w:shd w:val="clear" w:color="000000" w:fill="D9D9D9"/>
            <w:vAlign w:val="bottom"/>
            <w:hideMark/>
          </w:tcPr>
          <w:p w14:paraId="4B799A06"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Beneficiaries who file joint tax returns with modified adjusted gross income:</w:t>
            </w:r>
          </w:p>
        </w:tc>
        <w:tc>
          <w:tcPr>
            <w:tcW w:w="1660" w:type="dxa"/>
            <w:tcBorders>
              <w:top w:val="nil"/>
              <w:left w:val="nil"/>
              <w:bottom w:val="nil"/>
              <w:right w:val="nil"/>
            </w:tcBorders>
            <w:shd w:val="clear" w:color="000000" w:fill="D9D9D9"/>
            <w:vAlign w:val="bottom"/>
            <w:hideMark/>
          </w:tcPr>
          <w:p w14:paraId="1316AD00"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Part B Income-Related Monthly Adjustment Amount</w:t>
            </w:r>
          </w:p>
        </w:tc>
        <w:tc>
          <w:tcPr>
            <w:tcW w:w="1760" w:type="dxa"/>
            <w:tcBorders>
              <w:top w:val="nil"/>
              <w:left w:val="nil"/>
              <w:bottom w:val="nil"/>
              <w:right w:val="nil"/>
            </w:tcBorders>
            <w:shd w:val="clear" w:color="000000" w:fill="D9D9D9"/>
            <w:vAlign w:val="bottom"/>
            <w:hideMark/>
          </w:tcPr>
          <w:p w14:paraId="67F7A427"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Part D Income-Related Monthly Adjustment Amount</w:t>
            </w:r>
          </w:p>
        </w:tc>
        <w:tc>
          <w:tcPr>
            <w:tcW w:w="1260" w:type="dxa"/>
            <w:tcBorders>
              <w:top w:val="nil"/>
              <w:left w:val="nil"/>
              <w:bottom w:val="nil"/>
              <w:right w:val="nil"/>
            </w:tcBorders>
            <w:shd w:val="clear" w:color="000000" w:fill="D9D9D9"/>
            <w:vAlign w:val="bottom"/>
            <w:hideMark/>
          </w:tcPr>
          <w:p w14:paraId="22614D21"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Total Monthly Premium Amount</w:t>
            </w:r>
          </w:p>
        </w:tc>
      </w:tr>
      <w:tr w:rsidR="00FD27ED" w:rsidRPr="00FD27ED" w14:paraId="5E56B543" w14:textId="77777777" w:rsidTr="00FD27ED">
        <w:trPr>
          <w:trHeight w:val="576"/>
        </w:trPr>
        <w:tc>
          <w:tcPr>
            <w:tcW w:w="2660" w:type="dxa"/>
            <w:tcBorders>
              <w:top w:val="nil"/>
              <w:left w:val="nil"/>
              <w:bottom w:val="nil"/>
              <w:right w:val="nil"/>
            </w:tcBorders>
            <w:shd w:val="clear" w:color="auto" w:fill="auto"/>
            <w:vAlign w:val="bottom"/>
            <w:hideMark/>
          </w:tcPr>
          <w:p w14:paraId="56834A0E"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Less than or equal to $103,000</w:t>
            </w:r>
          </w:p>
        </w:tc>
        <w:tc>
          <w:tcPr>
            <w:tcW w:w="3140" w:type="dxa"/>
            <w:tcBorders>
              <w:top w:val="nil"/>
              <w:left w:val="nil"/>
              <w:bottom w:val="nil"/>
              <w:right w:val="nil"/>
            </w:tcBorders>
            <w:shd w:val="clear" w:color="auto" w:fill="auto"/>
            <w:vAlign w:val="bottom"/>
            <w:hideMark/>
          </w:tcPr>
          <w:p w14:paraId="05BCECE8"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Less than or equal to $206,000</w:t>
            </w:r>
          </w:p>
        </w:tc>
        <w:tc>
          <w:tcPr>
            <w:tcW w:w="1660" w:type="dxa"/>
            <w:tcBorders>
              <w:top w:val="nil"/>
              <w:left w:val="nil"/>
              <w:bottom w:val="nil"/>
              <w:right w:val="nil"/>
            </w:tcBorders>
            <w:shd w:val="clear" w:color="auto" w:fill="auto"/>
            <w:noWrap/>
            <w:vAlign w:val="bottom"/>
            <w:hideMark/>
          </w:tcPr>
          <w:p w14:paraId="3BD93063"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$0.00 </w:t>
            </w:r>
          </w:p>
        </w:tc>
        <w:tc>
          <w:tcPr>
            <w:tcW w:w="1760" w:type="dxa"/>
            <w:tcBorders>
              <w:top w:val="nil"/>
              <w:left w:val="nil"/>
              <w:bottom w:val="nil"/>
              <w:right w:val="nil"/>
            </w:tcBorders>
            <w:shd w:val="clear" w:color="auto" w:fill="auto"/>
            <w:noWrap/>
            <w:vAlign w:val="bottom"/>
            <w:hideMark/>
          </w:tcPr>
          <w:p w14:paraId="162210F9"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$0.00 </w:t>
            </w:r>
          </w:p>
        </w:tc>
        <w:tc>
          <w:tcPr>
            <w:tcW w:w="1260" w:type="dxa"/>
            <w:tcBorders>
              <w:top w:val="nil"/>
              <w:left w:val="nil"/>
              <w:bottom w:val="nil"/>
              <w:right w:val="nil"/>
            </w:tcBorders>
            <w:shd w:val="clear" w:color="auto" w:fill="auto"/>
            <w:noWrap/>
            <w:vAlign w:val="bottom"/>
            <w:hideMark/>
          </w:tcPr>
          <w:p w14:paraId="33F1CD1E"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$174.70 </w:t>
            </w:r>
          </w:p>
        </w:tc>
      </w:tr>
      <w:tr w:rsidR="00FD27ED" w:rsidRPr="00FD27ED" w14:paraId="4D1AD902" w14:textId="77777777" w:rsidTr="00FD27ED">
        <w:trPr>
          <w:trHeight w:val="864"/>
        </w:trPr>
        <w:tc>
          <w:tcPr>
            <w:tcW w:w="2660" w:type="dxa"/>
            <w:tcBorders>
              <w:top w:val="nil"/>
              <w:left w:val="nil"/>
              <w:bottom w:val="nil"/>
              <w:right w:val="nil"/>
            </w:tcBorders>
            <w:shd w:val="clear" w:color="auto" w:fill="auto"/>
            <w:vAlign w:val="bottom"/>
            <w:hideMark/>
          </w:tcPr>
          <w:p w14:paraId="3F74C27A"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lastRenderedPageBreak/>
              <w:t>Greater than $103,000 and less than or equal to $129,000</w:t>
            </w:r>
          </w:p>
        </w:tc>
        <w:tc>
          <w:tcPr>
            <w:tcW w:w="3140" w:type="dxa"/>
            <w:tcBorders>
              <w:top w:val="nil"/>
              <w:left w:val="nil"/>
              <w:bottom w:val="nil"/>
              <w:right w:val="nil"/>
            </w:tcBorders>
            <w:shd w:val="clear" w:color="auto" w:fill="auto"/>
            <w:vAlign w:val="bottom"/>
            <w:hideMark/>
          </w:tcPr>
          <w:p w14:paraId="7D5594D0"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$206,000 and less than or equal to $258,000</w:t>
            </w:r>
          </w:p>
        </w:tc>
        <w:tc>
          <w:tcPr>
            <w:tcW w:w="1660" w:type="dxa"/>
            <w:tcBorders>
              <w:top w:val="nil"/>
              <w:left w:val="nil"/>
              <w:bottom w:val="nil"/>
              <w:right w:val="nil"/>
            </w:tcBorders>
            <w:shd w:val="clear" w:color="auto" w:fill="auto"/>
            <w:noWrap/>
            <w:vAlign w:val="bottom"/>
            <w:hideMark/>
          </w:tcPr>
          <w:p w14:paraId="573AEF3D"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$69.90 </w:t>
            </w:r>
          </w:p>
        </w:tc>
        <w:tc>
          <w:tcPr>
            <w:tcW w:w="1760" w:type="dxa"/>
            <w:tcBorders>
              <w:top w:val="nil"/>
              <w:left w:val="nil"/>
              <w:bottom w:val="nil"/>
              <w:right w:val="nil"/>
            </w:tcBorders>
            <w:shd w:val="clear" w:color="auto" w:fill="auto"/>
            <w:noWrap/>
            <w:vAlign w:val="bottom"/>
            <w:hideMark/>
          </w:tcPr>
          <w:p w14:paraId="0AF8E4C9"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$12.90 </w:t>
            </w:r>
          </w:p>
        </w:tc>
        <w:tc>
          <w:tcPr>
            <w:tcW w:w="1260" w:type="dxa"/>
            <w:tcBorders>
              <w:top w:val="nil"/>
              <w:left w:val="nil"/>
              <w:bottom w:val="nil"/>
              <w:right w:val="nil"/>
            </w:tcBorders>
            <w:shd w:val="clear" w:color="auto" w:fill="auto"/>
            <w:noWrap/>
            <w:vAlign w:val="bottom"/>
            <w:hideMark/>
          </w:tcPr>
          <w:p w14:paraId="096D9C89"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$257.50 </w:t>
            </w:r>
          </w:p>
        </w:tc>
      </w:tr>
      <w:tr w:rsidR="00FD27ED" w:rsidRPr="00FD27ED" w14:paraId="0DAE0FED" w14:textId="77777777" w:rsidTr="00FD27ED">
        <w:trPr>
          <w:trHeight w:val="864"/>
        </w:trPr>
        <w:tc>
          <w:tcPr>
            <w:tcW w:w="2660" w:type="dxa"/>
            <w:tcBorders>
              <w:top w:val="nil"/>
              <w:left w:val="nil"/>
              <w:bottom w:val="nil"/>
              <w:right w:val="nil"/>
            </w:tcBorders>
            <w:shd w:val="clear" w:color="auto" w:fill="auto"/>
            <w:vAlign w:val="bottom"/>
            <w:hideMark/>
          </w:tcPr>
          <w:p w14:paraId="1A040622"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$129,000 and less than or equal to $161,000</w:t>
            </w:r>
          </w:p>
        </w:tc>
        <w:tc>
          <w:tcPr>
            <w:tcW w:w="3140" w:type="dxa"/>
            <w:tcBorders>
              <w:top w:val="nil"/>
              <w:left w:val="nil"/>
              <w:bottom w:val="nil"/>
              <w:right w:val="nil"/>
            </w:tcBorders>
            <w:shd w:val="clear" w:color="auto" w:fill="auto"/>
            <w:vAlign w:val="bottom"/>
            <w:hideMark/>
          </w:tcPr>
          <w:p w14:paraId="276C091D"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$258,000 and less than or equal to $322,000</w:t>
            </w:r>
          </w:p>
        </w:tc>
        <w:tc>
          <w:tcPr>
            <w:tcW w:w="1660" w:type="dxa"/>
            <w:tcBorders>
              <w:top w:val="nil"/>
              <w:left w:val="nil"/>
              <w:bottom w:val="nil"/>
              <w:right w:val="nil"/>
            </w:tcBorders>
            <w:shd w:val="clear" w:color="auto" w:fill="auto"/>
            <w:noWrap/>
            <w:vAlign w:val="bottom"/>
            <w:hideMark/>
          </w:tcPr>
          <w:p w14:paraId="76A6714D"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$174.70 </w:t>
            </w:r>
          </w:p>
        </w:tc>
        <w:tc>
          <w:tcPr>
            <w:tcW w:w="1760" w:type="dxa"/>
            <w:tcBorders>
              <w:top w:val="nil"/>
              <w:left w:val="nil"/>
              <w:bottom w:val="nil"/>
              <w:right w:val="nil"/>
            </w:tcBorders>
            <w:shd w:val="clear" w:color="auto" w:fill="auto"/>
            <w:noWrap/>
            <w:vAlign w:val="bottom"/>
            <w:hideMark/>
          </w:tcPr>
          <w:p w14:paraId="6A559A05"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$33.30 </w:t>
            </w:r>
          </w:p>
        </w:tc>
        <w:tc>
          <w:tcPr>
            <w:tcW w:w="1260" w:type="dxa"/>
            <w:tcBorders>
              <w:top w:val="nil"/>
              <w:left w:val="nil"/>
              <w:bottom w:val="nil"/>
              <w:right w:val="nil"/>
            </w:tcBorders>
            <w:shd w:val="clear" w:color="auto" w:fill="auto"/>
            <w:noWrap/>
            <w:vAlign w:val="bottom"/>
            <w:hideMark/>
          </w:tcPr>
          <w:p w14:paraId="7102A62D"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$382.70 </w:t>
            </w:r>
          </w:p>
        </w:tc>
      </w:tr>
      <w:tr w:rsidR="00FD27ED" w:rsidRPr="00FD27ED" w14:paraId="6FEB98F7" w14:textId="77777777" w:rsidTr="00FD27ED">
        <w:trPr>
          <w:trHeight w:val="864"/>
        </w:trPr>
        <w:tc>
          <w:tcPr>
            <w:tcW w:w="2660" w:type="dxa"/>
            <w:tcBorders>
              <w:top w:val="nil"/>
              <w:left w:val="nil"/>
              <w:bottom w:val="nil"/>
              <w:right w:val="nil"/>
            </w:tcBorders>
            <w:shd w:val="clear" w:color="auto" w:fill="auto"/>
            <w:vAlign w:val="bottom"/>
            <w:hideMark/>
          </w:tcPr>
          <w:p w14:paraId="69A5A913"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$161,000 and less than or equal to $193,000</w:t>
            </w:r>
          </w:p>
        </w:tc>
        <w:tc>
          <w:tcPr>
            <w:tcW w:w="3140" w:type="dxa"/>
            <w:tcBorders>
              <w:top w:val="nil"/>
              <w:left w:val="nil"/>
              <w:bottom w:val="nil"/>
              <w:right w:val="nil"/>
            </w:tcBorders>
            <w:shd w:val="clear" w:color="auto" w:fill="auto"/>
            <w:vAlign w:val="bottom"/>
            <w:hideMark/>
          </w:tcPr>
          <w:p w14:paraId="13541DAA"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$322,000 and less than or equal to $386,000</w:t>
            </w:r>
          </w:p>
        </w:tc>
        <w:tc>
          <w:tcPr>
            <w:tcW w:w="1660" w:type="dxa"/>
            <w:tcBorders>
              <w:top w:val="nil"/>
              <w:left w:val="nil"/>
              <w:bottom w:val="nil"/>
              <w:right w:val="nil"/>
            </w:tcBorders>
            <w:shd w:val="clear" w:color="auto" w:fill="auto"/>
            <w:noWrap/>
            <w:vAlign w:val="bottom"/>
            <w:hideMark/>
          </w:tcPr>
          <w:p w14:paraId="1D02BB7B"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$279.50 </w:t>
            </w:r>
          </w:p>
        </w:tc>
        <w:tc>
          <w:tcPr>
            <w:tcW w:w="1760" w:type="dxa"/>
            <w:tcBorders>
              <w:top w:val="nil"/>
              <w:left w:val="nil"/>
              <w:bottom w:val="nil"/>
              <w:right w:val="nil"/>
            </w:tcBorders>
            <w:shd w:val="clear" w:color="auto" w:fill="auto"/>
            <w:noWrap/>
            <w:vAlign w:val="bottom"/>
            <w:hideMark/>
          </w:tcPr>
          <w:p w14:paraId="0CDF246B"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$53.80 </w:t>
            </w:r>
          </w:p>
        </w:tc>
        <w:tc>
          <w:tcPr>
            <w:tcW w:w="1260" w:type="dxa"/>
            <w:tcBorders>
              <w:top w:val="nil"/>
              <w:left w:val="nil"/>
              <w:bottom w:val="nil"/>
              <w:right w:val="nil"/>
            </w:tcBorders>
            <w:shd w:val="clear" w:color="auto" w:fill="auto"/>
            <w:noWrap/>
            <w:vAlign w:val="bottom"/>
            <w:hideMark/>
          </w:tcPr>
          <w:p w14:paraId="6784E254"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$508.00 </w:t>
            </w:r>
          </w:p>
        </w:tc>
      </w:tr>
      <w:tr w:rsidR="00FD27ED" w:rsidRPr="00FD27ED" w14:paraId="26F3B09F" w14:textId="77777777" w:rsidTr="00FD27ED">
        <w:trPr>
          <w:trHeight w:val="576"/>
        </w:trPr>
        <w:tc>
          <w:tcPr>
            <w:tcW w:w="2660" w:type="dxa"/>
            <w:tcBorders>
              <w:top w:val="nil"/>
              <w:left w:val="nil"/>
              <w:bottom w:val="nil"/>
              <w:right w:val="nil"/>
            </w:tcBorders>
            <w:shd w:val="clear" w:color="auto" w:fill="auto"/>
            <w:vAlign w:val="bottom"/>
            <w:hideMark/>
          </w:tcPr>
          <w:p w14:paraId="3C581D83"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$193,000 and less than $500,000</w:t>
            </w:r>
          </w:p>
        </w:tc>
        <w:tc>
          <w:tcPr>
            <w:tcW w:w="3140" w:type="dxa"/>
            <w:tcBorders>
              <w:top w:val="nil"/>
              <w:left w:val="nil"/>
              <w:bottom w:val="nil"/>
              <w:right w:val="nil"/>
            </w:tcBorders>
            <w:shd w:val="clear" w:color="auto" w:fill="auto"/>
            <w:vAlign w:val="bottom"/>
            <w:hideMark/>
          </w:tcPr>
          <w:p w14:paraId="1B710614"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$386,000 and less than $750,000</w:t>
            </w:r>
          </w:p>
        </w:tc>
        <w:tc>
          <w:tcPr>
            <w:tcW w:w="1660" w:type="dxa"/>
            <w:tcBorders>
              <w:top w:val="nil"/>
              <w:left w:val="nil"/>
              <w:bottom w:val="nil"/>
              <w:right w:val="nil"/>
            </w:tcBorders>
            <w:shd w:val="clear" w:color="auto" w:fill="auto"/>
            <w:noWrap/>
            <w:vAlign w:val="bottom"/>
            <w:hideMark/>
          </w:tcPr>
          <w:p w14:paraId="5A02FEC9"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$384.30 </w:t>
            </w:r>
          </w:p>
        </w:tc>
        <w:tc>
          <w:tcPr>
            <w:tcW w:w="1760" w:type="dxa"/>
            <w:tcBorders>
              <w:top w:val="nil"/>
              <w:left w:val="nil"/>
              <w:bottom w:val="nil"/>
              <w:right w:val="nil"/>
            </w:tcBorders>
            <w:shd w:val="clear" w:color="auto" w:fill="auto"/>
            <w:noWrap/>
            <w:vAlign w:val="bottom"/>
            <w:hideMark/>
          </w:tcPr>
          <w:p w14:paraId="3FF556D6"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$74.20 </w:t>
            </w:r>
          </w:p>
        </w:tc>
        <w:tc>
          <w:tcPr>
            <w:tcW w:w="1260" w:type="dxa"/>
            <w:tcBorders>
              <w:top w:val="nil"/>
              <w:left w:val="nil"/>
              <w:bottom w:val="nil"/>
              <w:right w:val="nil"/>
            </w:tcBorders>
            <w:shd w:val="clear" w:color="auto" w:fill="auto"/>
            <w:noWrap/>
            <w:vAlign w:val="bottom"/>
            <w:hideMark/>
          </w:tcPr>
          <w:p w14:paraId="42112636"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$633.20 </w:t>
            </w:r>
          </w:p>
        </w:tc>
      </w:tr>
      <w:tr w:rsidR="00FD27ED" w:rsidRPr="00FD27ED" w14:paraId="0A387C4C" w14:textId="77777777" w:rsidTr="00FD27ED">
        <w:trPr>
          <w:trHeight w:val="576"/>
        </w:trPr>
        <w:tc>
          <w:tcPr>
            <w:tcW w:w="2660" w:type="dxa"/>
            <w:tcBorders>
              <w:top w:val="nil"/>
              <w:left w:val="nil"/>
              <w:bottom w:val="nil"/>
              <w:right w:val="nil"/>
            </w:tcBorders>
            <w:shd w:val="clear" w:color="auto" w:fill="auto"/>
            <w:vAlign w:val="bottom"/>
            <w:hideMark/>
          </w:tcPr>
          <w:p w14:paraId="6DCB96C8"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or equal to $500,000</w:t>
            </w:r>
          </w:p>
        </w:tc>
        <w:tc>
          <w:tcPr>
            <w:tcW w:w="3140" w:type="dxa"/>
            <w:tcBorders>
              <w:top w:val="nil"/>
              <w:left w:val="nil"/>
              <w:bottom w:val="nil"/>
              <w:right w:val="nil"/>
            </w:tcBorders>
            <w:shd w:val="clear" w:color="auto" w:fill="auto"/>
            <w:vAlign w:val="bottom"/>
            <w:hideMark/>
          </w:tcPr>
          <w:p w14:paraId="36645A63"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or equal to $750,000</w:t>
            </w:r>
          </w:p>
        </w:tc>
        <w:tc>
          <w:tcPr>
            <w:tcW w:w="1660" w:type="dxa"/>
            <w:tcBorders>
              <w:top w:val="nil"/>
              <w:left w:val="nil"/>
              <w:bottom w:val="nil"/>
              <w:right w:val="nil"/>
            </w:tcBorders>
            <w:shd w:val="clear" w:color="auto" w:fill="auto"/>
            <w:noWrap/>
            <w:vAlign w:val="bottom"/>
            <w:hideMark/>
          </w:tcPr>
          <w:p w14:paraId="42EC58D0"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$419.30 </w:t>
            </w:r>
          </w:p>
        </w:tc>
        <w:tc>
          <w:tcPr>
            <w:tcW w:w="1760" w:type="dxa"/>
            <w:tcBorders>
              <w:top w:val="nil"/>
              <w:left w:val="nil"/>
              <w:bottom w:val="nil"/>
              <w:right w:val="nil"/>
            </w:tcBorders>
            <w:shd w:val="clear" w:color="auto" w:fill="auto"/>
            <w:noWrap/>
            <w:vAlign w:val="bottom"/>
            <w:hideMark/>
          </w:tcPr>
          <w:p w14:paraId="0017FD08"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$81.00 </w:t>
            </w:r>
          </w:p>
        </w:tc>
        <w:tc>
          <w:tcPr>
            <w:tcW w:w="1260" w:type="dxa"/>
            <w:tcBorders>
              <w:top w:val="nil"/>
              <w:left w:val="nil"/>
              <w:bottom w:val="nil"/>
              <w:right w:val="nil"/>
            </w:tcBorders>
            <w:shd w:val="clear" w:color="auto" w:fill="auto"/>
            <w:noWrap/>
            <w:vAlign w:val="bottom"/>
            <w:hideMark/>
          </w:tcPr>
          <w:p w14:paraId="3352CABD"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$675.00 </w:t>
            </w:r>
          </w:p>
        </w:tc>
      </w:tr>
    </w:tbl>
    <w:p w14:paraId="31CF370C" w14:textId="77777777" w:rsidR="00FD27ED" w:rsidRPr="00FD27ED" w:rsidRDefault="00FD27ED">
      <w:pPr>
        <w:rPr>
          <w:i/>
          <w:iCs/>
        </w:rPr>
      </w:pPr>
    </w:p>
    <w:p w14:paraId="65B937BF" w14:textId="3405233C" w:rsidR="00FD27ED" w:rsidRDefault="00FD27ED"/>
    <w:p w14:paraId="44259468" w14:textId="195C9EBD" w:rsidR="00FD27ED" w:rsidRPr="00FD27ED" w:rsidRDefault="00FD27ED">
      <w:pPr>
        <w:rPr>
          <w:i/>
          <w:iCs/>
        </w:rPr>
      </w:pPr>
      <w:r w:rsidRPr="00FD27ED">
        <w:rPr>
          <w:i/>
          <w:iCs/>
        </w:rPr>
        <w:t>Please update to the current formula matrix reflected below:</w:t>
      </w:r>
    </w:p>
    <w:tbl>
      <w:tblPr>
        <w:tblW w:w="10480" w:type="dxa"/>
        <w:tblLook w:val="04A0" w:firstRow="1" w:lastRow="0" w:firstColumn="1" w:lastColumn="0" w:noHBand="0" w:noVBand="1"/>
      </w:tblPr>
      <w:tblGrid>
        <w:gridCol w:w="2660"/>
        <w:gridCol w:w="3140"/>
        <w:gridCol w:w="1660"/>
        <w:gridCol w:w="1760"/>
        <w:gridCol w:w="1260"/>
      </w:tblGrid>
      <w:tr w:rsidR="00FD27ED" w:rsidRPr="00FD27ED" w14:paraId="602DB9E5" w14:textId="77777777" w:rsidTr="00FD27ED">
        <w:trPr>
          <w:trHeight w:val="1188"/>
        </w:trPr>
        <w:tc>
          <w:tcPr>
            <w:tcW w:w="2660" w:type="dxa"/>
            <w:tcBorders>
              <w:top w:val="nil"/>
              <w:left w:val="nil"/>
              <w:bottom w:val="nil"/>
              <w:right w:val="nil"/>
            </w:tcBorders>
            <w:shd w:val="clear" w:color="000000" w:fill="D9D9D9"/>
            <w:vAlign w:val="bottom"/>
            <w:hideMark/>
          </w:tcPr>
          <w:p w14:paraId="59418DA5"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Beneficiaries who file individual tax returns with modified adjusted gross income:</w:t>
            </w:r>
          </w:p>
        </w:tc>
        <w:tc>
          <w:tcPr>
            <w:tcW w:w="3140" w:type="dxa"/>
            <w:tcBorders>
              <w:top w:val="nil"/>
              <w:left w:val="nil"/>
              <w:bottom w:val="nil"/>
              <w:right w:val="nil"/>
            </w:tcBorders>
            <w:shd w:val="clear" w:color="000000" w:fill="D9D9D9"/>
            <w:vAlign w:val="bottom"/>
            <w:hideMark/>
          </w:tcPr>
          <w:p w14:paraId="42E3DD6A"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Beneficiaries who file joint tax returns with modified adjusted gross income:</w:t>
            </w:r>
          </w:p>
        </w:tc>
        <w:tc>
          <w:tcPr>
            <w:tcW w:w="1660" w:type="dxa"/>
            <w:tcBorders>
              <w:top w:val="nil"/>
              <w:left w:val="nil"/>
              <w:bottom w:val="nil"/>
              <w:right w:val="nil"/>
            </w:tcBorders>
            <w:shd w:val="clear" w:color="000000" w:fill="D9D9D9"/>
            <w:vAlign w:val="bottom"/>
            <w:hideMark/>
          </w:tcPr>
          <w:p w14:paraId="3AB2099E"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Part B Income-Related Monthly Adjustment Amount</w:t>
            </w:r>
          </w:p>
        </w:tc>
        <w:tc>
          <w:tcPr>
            <w:tcW w:w="1760" w:type="dxa"/>
            <w:tcBorders>
              <w:top w:val="nil"/>
              <w:left w:val="nil"/>
              <w:bottom w:val="nil"/>
              <w:right w:val="nil"/>
            </w:tcBorders>
            <w:shd w:val="clear" w:color="000000" w:fill="D9D9D9"/>
            <w:vAlign w:val="bottom"/>
            <w:hideMark/>
          </w:tcPr>
          <w:p w14:paraId="5B27D1A2"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Part D Income-Related Monthly Adjustment Amount</w:t>
            </w:r>
          </w:p>
        </w:tc>
        <w:tc>
          <w:tcPr>
            <w:tcW w:w="1260" w:type="dxa"/>
            <w:tcBorders>
              <w:top w:val="nil"/>
              <w:left w:val="nil"/>
              <w:bottom w:val="nil"/>
              <w:right w:val="nil"/>
            </w:tcBorders>
            <w:shd w:val="clear" w:color="000000" w:fill="D9D9D9"/>
            <w:vAlign w:val="bottom"/>
            <w:hideMark/>
          </w:tcPr>
          <w:p w14:paraId="21A20886" w14:textId="77777777" w:rsidR="00FD27ED" w:rsidRPr="00FD27ED" w:rsidRDefault="00FD27ED" w:rsidP="00FD27ED">
            <w:pPr>
              <w:spacing w:after="0" w:line="240" w:lineRule="auto"/>
              <w:rPr>
                <w:rFonts w:ascii="Calibri" w:eastAsia="Times New Roman" w:hAnsi="Calibri" w:cs="Calibri"/>
                <w:b/>
                <w:bCs/>
                <w:color w:val="000000"/>
              </w:rPr>
            </w:pPr>
            <w:r w:rsidRPr="00FD27ED">
              <w:rPr>
                <w:rFonts w:ascii="Calibri" w:eastAsia="Times New Roman" w:hAnsi="Calibri" w:cs="Calibri"/>
                <w:b/>
                <w:bCs/>
                <w:color w:val="000000"/>
              </w:rPr>
              <w:t>Total Monthly Premium Amount</w:t>
            </w:r>
          </w:p>
        </w:tc>
      </w:tr>
      <w:tr w:rsidR="00FD27ED" w:rsidRPr="00FD27ED" w14:paraId="14BB503C" w14:textId="77777777" w:rsidTr="00FD27ED">
        <w:trPr>
          <w:trHeight w:val="576"/>
        </w:trPr>
        <w:tc>
          <w:tcPr>
            <w:tcW w:w="2660" w:type="dxa"/>
            <w:tcBorders>
              <w:top w:val="nil"/>
              <w:left w:val="nil"/>
              <w:bottom w:val="nil"/>
              <w:right w:val="nil"/>
            </w:tcBorders>
            <w:shd w:val="clear" w:color="auto" w:fill="auto"/>
            <w:vAlign w:val="bottom"/>
            <w:hideMark/>
          </w:tcPr>
          <w:p w14:paraId="55416F64"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Less than or equal to $106,000</w:t>
            </w:r>
          </w:p>
        </w:tc>
        <w:tc>
          <w:tcPr>
            <w:tcW w:w="3140" w:type="dxa"/>
            <w:tcBorders>
              <w:top w:val="nil"/>
              <w:left w:val="nil"/>
              <w:bottom w:val="nil"/>
              <w:right w:val="nil"/>
            </w:tcBorders>
            <w:shd w:val="clear" w:color="auto" w:fill="auto"/>
            <w:vAlign w:val="bottom"/>
            <w:hideMark/>
          </w:tcPr>
          <w:p w14:paraId="4A5B2A11"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Less than or equal to $212,000</w:t>
            </w:r>
          </w:p>
        </w:tc>
        <w:tc>
          <w:tcPr>
            <w:tcW w:w="1660" w:type="dxa"/>
            <w:tcBorders>
              <w:top w:val="nil"/>
              <w:left w:val="nil"/>
              <w:bottom w:val="nil"/>
              <w:right w:val="nil"/>
            </w:tcBorders>
            <w:shd w:val="clear" w:color="auto" w:fill="auto"/>
            <w:noWrap/>
            <w:vAlign w:val="bottom"/>
            <w:hideMark/>
          </w:tcPr>
          <w:p w14:paraId="2669A6BE"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$0.00 </w:t>
            </w:r>
          </w:p>
        </w:tc>
        <w:tc>
          <w:tcPr>
            <w:tcW w:w="1760" w:type="dxa"/>
            <w:tcBorders>
              <w:top w:val="nil"/>
              <w:left w:val="nil"/>
              <w:bottom w:val="nil"/>
              <w:right w:val="nil"/>
            </w:tcBorders>
            <w:shd w:val="clear" w:color="auto" w:fill="auto"/>
            <w:noWrap/>
            <w:vAlign w:val="bottom"/>
            <w:hideMark/>
          </w:tcPr>
          <w:p w14:paraId="3E2E9553"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$0.00 </w:t>
            </w:r>
          </w:p>
        </w:tc>
        <w:tc>
          <w:tcPr>
            <w:tcW w:w="1260" w:type="dxa"/>
            <w:tcBorders>
              <w:top w:val="nil"/>
              <w:left w:val="nil"/>
              <w:bottom w:val="nil"/>
              <w:right w:val="nil"/>
            </w:tcBorders>
            <w:shd w:val="clear" w:color="auto" w:fill="auto"/>
            <w:noWrap/>
            <w:vAlign w:val="bottom"/>
            <w:hideMark/>
          </w:tcPr>
          <w:p w14:paraId="1C2363E0"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$185.00 </w:t>
            </w:r>
          </w:p>
        </w:tc>
      </w:tr>
      <w:tr w:rsidR="00FD27ED" w:rsidRPr="00FD27ED" w14:paraId="5A9DE4A4" w14:textId="77777777" w:rsidTr="00FD27ED">
        <w:trPr>
          <w:trHeight w:val="864"/>
        </w:trPr>
        <w:tc>
          <w:tcPr>
            <w:tcW w:w="2660" w:type="dxa"/>
            <w:tcBorders>
              <w:top w:val="nil"/>
              <w:left w:val="nil"/>
              <w:bottom w:val="nil"/>
              <w:right w:val="nil"/>
            </w:tcBorders>
            <w:shd w:val="clear" w:color="auto" w:fill="auto"/>
            <w:vAlign w:val="bottom"/>
            <w:hideMark/>
          </w:tcPr>
          <w:p w14:paraId="7101C8B0"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$106,000 and less than or equal to $133,000</w:t>
            </w:r>
          </w:p>
        </w:tc>
        <w:tc>
          <w:tcPr>
            <w:tcW w:w="3140" w:type="dxa"/>
            <w:tcBorders>
              <w:top w:val="nil"/>
              <w:left w:val="nil"/>
              <w:bottom w:val="nil"/>
              <w:right w:val="nil"/>
            </w:tcBorders>
            <w:shd w:val="clear" w:color="auto" w:fill="auto"/>
            <w:vAlign w:val="bottom"/>
            <w:hideMark/>
          </w:tcPr>
          <w:p w14:paraId="6C7CFF4C"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$212,000 and less than or equal to $266,000</w:t>
            </w:r>
          </w:p>
        </w:tc>
        <w:tc>
          <w:tcPr>
            <w:tcW w:w="1660" w:type="dxa"/>
            <w:tcBorders>
              <w:top w:val="nil"/>
              <w:left w:val="nil"/>
              <w:bottom w:val="nil"/>
              <w:right w:val="nil"/>
            </w:tcBorders>
            <w:shd w:val="clear" w:color="auto" w:fill="auto"/>
            <w:noWrap/>
            <w:vAlign w:val="bottom"/>
            <w:hideMark/>
          </w:tcPr>
          <w:p w14:paraId="125AEE17"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$74.00 </w:t>
            </w:r>
          </w:p>
        </w:tc>
        <w:tc>
          <w:tcPr>
            <w:tcW w:w="1760" w:type="dxa"/>
            <w:tcBorders>
              <w:top w:val="nil"/>
              <w:left w:val="nil"/>
              <w:bottom w:val="nil"/>
              <w:right w:val="nil"/>
            </w:tcBorders>
            <w:shd w:val="clear" w:color="auto" w:fill="auto"/>
            <w:noWrap/>
            <w:vAlign w:val="bottom"/>
            <w:hideMark/>
          </w:tcPr>
          <w:p w14:paraId="456C95FD"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$13.70 </w:t>
            </w:r>
          </w:p>
        </w:tc>
        <w:tc>
          <w:tcPr>
            <w:tcW w:w="1260" w:type="dxa"/>
            <w:tcBorders>
              <w:top w:val="nil"/>
              <w:left w:val="nil"/>
              <w:bottom w:val="nil"/>
              <w:right w:val="nil"/>
            </w:tcBorders>
            <w:shd w:val="clear" w:color="auto" w:fill="auto"/>
            <w:noWrap/>
            <w:vAlign w:val="bottom"/>
            <w:hideMark/>
          </w:tcPr>
          <w:p w14:paraId="71C2D623"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$272.70 </w:t>
            </w:r>
          </w:p>
        </w:tc>
      </w:tr>
      <w:tr w:rsidR="00FD27ED" w:rsidRPr="00FD27ED" w14:paraId="15925C77" w14:textId="77777777" w:rsidTr="00FD27ED">
        <w:trPr>
          <w:trHeight w:val="864"/>
        </w:trPr>
        <w:tc>
          <w:tcPr>
            <w:tcW w:w="2660" w:type="dxa"/>
            <w:tcBorders>
              <w:top w:val="nil"/>
              <w:left w:val="nil"/>
              <w:bottom w:val="nil"/>
              <w:right w:val="nil"/>
            </w:tcBorders>
            <w:shd w:val="clear" w:color="auto" w:fill="auto"/>
            <w:vAlign w:val="bottom"/>
            <w:hideMark/>
          </w:tcPr>
          <w:p w14:paraId="76593F04"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$133,000 and less than or equal to $167,000</w:t>
            </w:r>
          </w:p>
        </w:tc>
        <w:tc>
          <w:tcPr>
            <w:tcW w:w="3140" w:type="dxa"/>
            <w:tcBorders>
              <w:top w:val="nil"/>
              <w:left w:val="nil"/>
              <w:bottom w:val="nil"/>
              <w:right w:val="nil"/>
            </w:tcBorders>
            <w:shd w:val="clear" w:color="auto" w:fill="auto"/>
            <w:vAlign w:val="bottom"/>
            <w:hideMark/>
          </w:tcPr>
          <w:p w14:paraId="58D37BAE"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$266,000 and less than or equal to $334,000</w:t>
            </w:r>
          </w:p>
        </w:tc>
        <w:tc>
          <w:tcPr>
            <w:tcW w:w="1660" w:type="dxa"/>
            <w:tcBorders>
              <w:top w:val="nil"/>
              <w:left w:val="nil"/>
              <w:bottom w:val="nil"/>
              <w:right w:val="nil"/>
            </w:tcBorders>
            <w:shd w:val="clear" w:color="auto" w:fill="auto"/>
            <w:noWrap/>
            <w:vAlign w:val="bottom"/>
            <w:hideMark/>
          </w:tcPr>
          <w:p w14:paraId="443CAC89"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$185.00 </w:t>
            </w:r>
          </w:p>
        </w:tc>
        <w:tc>
          <w:tcPr>
            <w:tcW w:w="1760" w:type="dxa"/>
            <w:tcBorders>
              <w:top w:val="nil"/>
              <w:left w:val="nil"/>
              <w:bottom w:val="nil"/>
              <w:right w:val="nil"/>
            </w:tcBorders>
            <w:shd w:val="clear" w:color="auto" w:fill="auto"/>
            <w:noWrap/>
            <w:vAlign w:val="bottom"/>
            <w:hideMark/>
          </w:tcPr>
          <w:p w14:paraId="66B3D3F1"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$35.30 </w:t>
            </w:r>
          </w:p>
        </w:tc>
        <w:tc>
          <w:tcPr>
            <w:tcW w:w="1260" w:type="dxa"/>
            <w:tcBorders>
              <w:top w:val="nil"/>
              <w:left w:val="nil"/>
              <w:bottom w:val="nil"/>
              <w:right w:val="nil"/>
            </w:tcBorders>
            <w:shd w:val="clear" w:color="auto" w:fill="auto"/>
            <w:noWrap/>
            <w:vAlign w:val="bottom"/>
            <w:hideMark/>
          </w:tcPr>
          <w:p w14:paraId="1BD6AC07"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$405.30 </w:t>
            </w:r>
          </w:p>
        </w:tc>
      </w:tr>
      <w:tr w:rsidR="00FD27ED" w:rsidRPr="00FD27ED" w14:paraId="7090F79C" w14:textId="77777777" w:rsidTr="00FD27ED">
        <w:trPr>
          <w:trHeight w:val="864"/>
        </w:trPr>
        <w:tc>
          <w:tcPr>
            <w:tcW w:w="2660" w:type="dxa"/>
            <w:tcBorders>
              <w:top w:val="nil"/>
              <w:left w:val="nil"/>
              <w:bottom w:val="nil"/>
              <w:right w:val="nil"/>
            </w:tcBorders>
            <w:shd w:val="clear" w:color="auto" w:fill="auto"/>
            <w:vAlign w:val="bottom"/>
            <w:hideMark/>
          </w:tcPr>
          <w:p w14:paraId="2AF2057E"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$167,000 and less than or equal to $200,000</w:t>
            </w:r>
          </w:p>
        </w:tc>
        <w:tc>
          <w:tcPr>
            <w:tcW w:w="3140" w:type="dxa"/>
            <w:tcBorders>
              <w:top w:val="nil"/>
              <w:left w:val="nil"/>
              <w:bottom w:val="nil"/>
              <w:right w:val="nil"/>
            </w:tcBorders>
            <w:shd w:val="clear" w:color="auto" w:fill="auto"/>
            <w:vAlign w:val="bottom"/>
            <w:hideMark/>
          </w:tcPr>
          <w:p w14:paraId="21C97875"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$334,000 and less than or equal to $400,000</w:t>
            </w:r>
          </w:p>
        </w:tc>
        <w:tc>
          <w:tcPr>
            <w:tcW w:w="1660" w:type="dxa"/>
            <w:tcBorders>
              <w:top w:val="nil"/>
              <w:left w:val="nil"/>
              <w:bottom w:val="nil"/>
              <w:right w:val="nil"/>
            </w:tcBorders>
            <w:shd w:val="clear" w:color="auto" w:fill="auto"/>
            <w:noWrap/>
            <w:vAlign w:val="bottom"/>
            <w:hideMark/>
          </w:tcPr>
          <w:p w14:paraId="491EF77F"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$295.90 </w:t>
            </w:r>
          </w:p>
        </w:tc>
        <w:tc>
          <w:tcPr>
            <w:tcW w:w="1760" w:type="dxa"/>
            <w:tcBorders>
              <w:top w:val="nil"/>
              <w:left w:val="nil"/>
              <w:bottom w:val="nil"/>
              <w:right w:val="nil"/>
            </w:tcBorders>
            <w:shd w:val="clear" w:color="auto" w:fill="auto"/>
            <w:noWrap/>
            <w:vAlign w:val="bottom"/>
            <w:hideMark/>
          </w:tcPr>
          <w:p w14:paraId="4409988E"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$57.00 </w:t>
            </w:r>
          </w:p>
        </w:tc>
        <w:tc>
          <w:tcPr>
            <w:tcW w:w="1260" w:type="dxa"/>
            <w:tcBorders>
              <w:top w:val="nil"/>
              <w:left w:val="nil"/>
              <w:bottom w:val="nil"/>
              <w:right w:val="nil"/>
            </w:tcBorders>
            <w:shd w:val="clear" w:color="auto" w:fill="auto"/>
            <w:noWrap/>
            <w:vAlign w:val="bottom"/>
            <w:hideMark/>
          </w:tcPr>
          <w:p w14:paraId="3F2E5C1F"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$537.90 </w:t>
            </w:r>
          </w:p>
        </w:tc>
      </w:tr>
      <w:tr w:rsidR="00FD27ED" w:rsidRPr="00FD27ED" w14:paraId="16AB4F1A" w14:textId="77777777" w:rsidTr="00FD27ED">
        <w:trPr>
          <w:trHeight w:val="576"/>
        </w:trPr>
        <w:tc>
          <w:tcPr>
            <w:tcW w:w="2660" w:type="dxa"/>
            <w:tcBorders>
              <w:top w:val="nil"/>
              <w:left w:val="nil"/>
              <w:bottom w:val="nil"/>
              <w:right w:val="nil"/>
            </w:tcBorders>
            <w:shd w:val="clear" w:color="auto" w:fill="auto"/>
            <w:vAlign w:val="bottom"/>
            <w:hideMark/>
          </w:tcPr>
          <w:p w14:paraId="04782086"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$200,000 and less than $500,000</w:t>
            </w:r>
          </w:p>
        </w:tc>
        <w:tc>
          <w:tcPr>
            <w:tcW w:w="3140" w:type="dxa"/>
            <w:tcBorders>
              <w:top w:val="nil"/>
              <w:left w:val="nil"/>
              <w:bottom w:val="nil"/>
              <w:right w:val="nil"/>
            </w:tcBorders>
            <w:shd w:val="clear" w:color="auto" w:fill="auto"/>
            <w:vAlign w:val="bottom"/>
            <w:hideMark/>
          </w:tcPr>
          <w:p w14:paraId="0F846A1B"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$400,000 and less than $750,000</w:t>
            </w:r>
          </w:p>
        </w:tc>
        <w:tc>
          <w:tcPr>
            <w:tcW w:w="1660" w:type="dxa"/>
            <w:tcBorders>
              <w:top w:val="nil"/>
              <w:left w:val="nil"/>
              <w:bottom w:val="nil"/>
              <w:right w:val="nil"/>
            </w:tcBorders>
            <w:shd w:val="clear" w:color="auto" w:fill="auto"/>
            <w:noWrap/>
            <w:vAlign w:val="bottom"/>
            <w:hideMark/>
          </w:tcPr>
          <w:p w14:paraId="65E754D7"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$406.90 </w:t>
            </w:r>
          </w:p>
        </w:tc>
        <w:tc>
          <w:tcPr>
            <w:tcW w:w="1760" w:type="dxa"/>
            <w:tcBorders>
              <w:top w:val="nil"/>
              <w:left w:val="nil"/>
              <w:bottom w:val="nil"/>
              <w:right w:val="nil"/>
            </w:tcBorders>
            <w:shd w:val="clear" w:color="auto" w:fill="auto"/>
            <w:noWrap/>
            <w:vAlign w:val="bottom"/>
            <w:hideMark/>
          </w:tcPr>
          <w:p w14:paraId="76AE9D6F"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$78.60 </w:t>
            </w:r>
          </w:p>
        </w:tc>
        <w:tc>
          <w:tcPr>
            <w:tcW w:w="1260" w:type="dxa"/>
            <w:tcBorders>
              <w:top w:val="nil"/>
              <w:left w:val="nil"/>
              <w:bottom w:val="nil"/>
              <w:right w:val="nil"/>
            </w:tcBorders>
            <w:shd w:val="clear" w:color="auto" w:fill="auto"/>
            <w:noWrap/>
            <w:vAlign w:val="bottom"/>
            <w:hideMark/>
          </w:tcPr>
          <w:p w14:paraId="23DAA9A8"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$670.50 </w:t>
            </w:r>
          </w:p>
        </w:tc>
      </w:tr>
      <w:tr w:rsidR="00FD27ED" w:rsidRPr="00FD27ED" w14:paraId="49F085DC" w14:textId="77777777" w:rsidTr="00FD27ED">
        <w:trPr>
          <w:trHeight w:val="576"/>
        </w:trPr>
        <w:tc>
          <w:tcPr>
            <w:tcW w:w="2660" w:type="dxa"/>
            <w:tcBorders>
              <w:top w:val="nil"/>
              <w:left w:val="nil"/>
              <w:bottom w:val="nil"/>
              <w:right w:val="nil"/>
            </w:tcBorders>
            <w:shd w:val="clear" w:color="auto" w:fill="auto"/>
            <w:vAlign w:val="bottom"/>
            <w:hideMark/>
          </w:tcPr>
          <w:p w14:paraId="45064D58"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or equal to $500,000</w:t>
            </w:r>
          </w:p>
        </w:tc>
        <w:tc>
          <w:tcPr>
            <w:tcW w:w="3140" w:type="dxa"/>
            <w:tcBorders>
              <w:top w:val="nil"/>
              <w:left w:val="nil"/>
              <w:bottom w:val="nil"/>
              <w:right w:val="nil"/>
            </w:tcBorders>
            <w:shd w:val="clear" w:color="auto" w:fill="auto"/>
            <w:vAlign w:val="bottom"/>
            <w:hideMark/>
          </w:tcPr>
          <w:p w14:paraId="1DD20BF4" w14:textId="77777777" w:rsidR="00FD27ED" w:rsidRPr="00FD27ED" w:rsidRDefault="00FD27ED" w:rsidP="00FD27ED">
            <w:pPr>
              <w:spacing w:after="0" w:line="240" w:lineRule="auto"/>
              <w:rPr>
                <w:rFonts w:ascii="Calibri" w:eastAsia="Times New Roman" w:hAnsi="Calibri" w:cs="Calibri"/>
                <w:color w:val="000000"/>
              </w:rPr>
            </w:pPr>
            <w:r w:rsidRPr="00FD27ED">
              <w:rPr>
                <w:rFonts w:ascii="Calibri" w:eastAsia="Times New Roman" w:hAnsi="Calibri" w:cs="Calibri"/>
                <w:color w:val="000000"/>
              </w:rPr>
              <w:t>Greater than or equal to $750,000</w:t>
            </w:r>
          </w:p>
        </w:tc>
        <w:tc>
          <w:tcPr>
            <w:tcW w:w="1660" w:type="dxa"/>
            <w:tcBorders>
              <w:top w:val="nil"/>
              <w:left w:val="nil"/>
              <w:bottom w:val="nil"/>
              <w:right w:val="nil"/>
            </w:tcBorders>
            <w:shd w:val="clear" w:color="auto" w:fill="auto"/>
            <w:noWrap/>
            <w:vAlign w:val="bottom"/>
            <w:hideMark/>
          </w:tcPr>
          <w:p w14:paraId="1E214118"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$443.90 </w:t>
            </w:r>
          </w:p>
        </w:tc>
        <w:tc>
          <w:tcPr>
            <w:tcW w:w="1760" w:type="dxa"/>
            <w:tcBorders>
              <w:top w:val="nil"/>
              <w:left w:val="nil"/>
              <w:bottom w:val="nil"/>
              <w:right w:val="nil"/>
            </w:tcBorders>
            <w:shd w:val="clear" w:color="auto" w:fill="auto"/>
            <w:noWrap/>
            <w:vAlign w:val="bottom"/>
            <w:hideMark/>
          </w:tcPr>
          <w:p w14:paraId="7CCB0B0F"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$85.80 </w:t>
            </w:r>
          </w:p>
        </w:tc>
        <w:tc>
          <w:tcPr>
            <w:tcW w:w="1260" w:type="dxa"/>
            <w:tcBorders>
              <w:top w:val="nil"/>
              <w:left w:val="nil"/>
              <w:bottom w:val="nil"/>
              <w:right w:val="nil"/>
            </w:tcBorders>
            <w:shd w:val="clear" w:color="auto" w:fill="auto"/>
            <w:noWrap/>
            <w:vAlign w:val="bottom"/>
            <w:hideMark/>
          </w:tcPr>
          <w:p w14:paraId="14743A62" w14:textId="77777777" w:rsidR="00FD27ED" w:rsidRPr="00FD27ED" w:rsidRDefault="00FD27ED" w:rsidP="00FD27ED">
            <w:pPr>
              <w:spacing w:after="0" w:line="240" w:lineRule="auto"/>
              <w:jc w:val="right"/>
              <w:rPr>
                <w:rFonts w:ascii="Calibri" w:eastAsia="Times New Roman" w:hAnsi="Calibri" w:cs="Calibri"/>
                <w:color w:val="000000"/>
              </w:rPr>
            </w:pPr>
            <w:r w:rsidRPr="00FD27ED">
              <w:rPr>
                <w:rFonts w:ascii="Calibri" w:eastAsia="Times New Roman" w:hAnsi="Calibri" w:cs="Calibri"/>
                <w:color w:val="000000"/>
              </w:rPr>
              <w:t xml:space="preserve">$714.70 </w:t>
            </w:r>
          </w:p>
        </w:tc>
      </w:tr>
    </w:tbl>
    <w:p w14:paraId="11426911" w14:textId="77777777" w:rsidR="00FD27ED" w:rsidRDefault="00FD27ED"/>
    <w:p w14:paraId="576ABB6F" w14:textId="77777777" w:rsidR="00FD27ED" w:rsidRDefault="00FD27ED"/>
    <w:p w14:paraId="464EC4CD" w14:textId="77777777" w:rsidR="00FD27ED" w:rsidRDefault="00FD27ED"/>
    <w:p w14:paraId="6A40A65F" w14:textId="281EDCB3" w:rsidR="00B47718" w:rsidRDefault="00FD27ED">
      <w:hyperlink r:id="rId12" w:history="1">
        <w:r w:rsidR="00B47718">
          <w:rPr>
            <w:rStyle w:val="Hyperlink"/>
            <w:rFonts w:ascii="Montserrat" w:hAnsi="Montserrat"/>
            <w:color w:val="000000"/>
            <w:spacing w:val="7"/>
          </w:rPr>
          <w:t>Part B Late Enrollment Penalty Calculator</w:t>
        </w:r>
      </w:hyperlink>
    </w:p>
    <w:p w14:paraId="3401AFFA" w14:textId="77777777" w:rsidR="000A33B5" w:rsidRPr="000A33B5" w:rsidRDefault="000A33B5" w:rsidP="000A33B5">
      <w:pPr>
        <w:rPr>
          <w:i/>
          <w:iCs/>
        </w:rPr>
      </w:pPr>
      <w:r w:rsidRPr="000A33B5">
        <w:rPr>
          <w:i/>
          <w:iCs/>
        </w:rPr>
        <w:lastRenderedPageBreak/>
        <w:t>Note: the cost basis for the calculator is currently $174.70. Please be sure the cost basis has been updated to reflect the current figure of $185</w:t>
      </w:r>
    </w:p>
    <w:p w14:paraId="26A9ABFF" w14:textId="77777777" w:rsidR="000A33B5" w:rsidRDefault="000A33B5" w:rsidP="000A33B5">
      <w:pPr>
        <w:rPr>
          <w:i/>
          <w:iCs/>
        </w:rPr>
      </w:pPr>
    </w:p>
    <w:p w14:paraId="0516D140" w14:textId="4D8FF4A8" w:rsidR="000A33B5" w:rsidRDefault="000A33B5" w:rsidP="000A33B5">
      <w:pPr>
        <w:rPr>
          <w:i/>
          <w:iCs/>
        </w:rPr>
      </w:pPr>
      <w:r>
        <w:rPr>
          <w:i/>
          <w:iCs/>
        </w:rPr>
        <w:t>Search for the following text:</w:t>
      </w:r>
    </w:p>
    <w:p w14:paraId="50E1DC51" w14:textId="19A3B775" w:rsidR="000D77B8" w:rsidRDefault="00303323" w:rsidP="00605103">
      <w:r>
        <w:t>2024 Part B Premium: $174.70</w:t>
      </w:r>
    </w:p>
    <w:p w14:paraId="5752A359" w14:textId="77777777" w:rsidR="000A33B5" w:rsidRPr="00605103" w:rsidRDefault="000A33B5" w:rsidP="000A33B5">
      <w:pPr>
        <w:rPr>
          <w:i/>
          <w:iCs/>
        </w:rPr>
      </w:pPr>
      <w:r w:rsidRPr="000A4D00">
        <w:rPr>
          <w:i/>
          <w:iCs/>
        </w:rPr>
        <w:t>Replace the text above with:</w:t>
      </w:r>
    </w:p>
    <w:p w14:paraId="258A9A15" w14:textId="48E006C0" w:rsidR="00303323" w:rsidRDefault="00303323" w:rsidP="00303323">
      <w:r>
        <w:t>2025 Part B Premium: $185</w:t>
      </w:r>
    </w:p>
    <w:p w14:paraId="37790FE0" w14:textId="1549E56B" w:rsidR="00FD6AC9" w:rsidRDefault="00FD27ED">
      <w:hyperlink r:id="rId13" w:history="1">
        <w:r w:rsidR="00B47718">
          <w:rPr>
            <w:rStyle w:val="Hyperlink"/>
            <w:rFonts w:ascii="Montserrat" w:hAnsi="Montserrat"/>
            <w:color w:val="000000"/>
            <w:spacing w:val="7"/>
          </w:rPr>
          <w:t>Part D Late Enrollment Penalty Calculator</w:t>
        </w:r>
      </w:hyperlink>
    </w:p>
    <w:p w14:paraId="407BC5E0" w14:textId="7E6A18F5" w:rsidR="000A33B5" w:rsidRPr="000A33B5" w:rsidRDefault="000A33B5" w:rsidP="000A33B5">
      <w:pPr>
        <w:rPr>
          <w:i/>
          <w:iCs/>
        </w:rPr>
      </w:pPr>
      <w:r w:rsidRPr="000A33B5">
        <w:rPr>
          <w:i/>
          <w:iCs/>
        </w:rPr>
        <w:t>Note: the cost basis for the calculator is currently $</w:t>
      </w:r>
      <w:r>
        <w:rPr>
          <w:i/>
          <w:iCs/>
        </w:rPr>
        <w:t>0.3</w:t>
      </w:r>
      <w:r w:rsidRPr="000A33B5">
        <w:rPr>
          <w:i/>
          <w:iCs/>
        </w:rPr>
        <w:t xml:space="preserve">470. Please </w:t>
      </w:r>
      <w:r>
        <w:rPr>
          <w:i/>
          <w:iCs/>
        </w:rPr>
        <w:t xml:space="preserve">update </w:t>
      </w:r>
      <w:r w:rsidRPr="000A33B5">
        <w:rPr>
          <w:i/>
          <w:iCs/>
        </w:rPr>
        <w:t>the cost basis has been updated to reflect the current figure of $</w:t>
      </w:r>
      <w:r>
        <w:rPr>
          <w:i/>
          <w:iCs/>
        </w:rPr>
        <w:t>0.3678</w:t>
      </w:r>
    </w:p>
    <w:p w14:paraId="34EDB777" w14:textId="77777777" w:rsidR="000A33B5" w:rsidRDefault="000A33B5" w:rsidP="00605103">
      <w:pPr>
        <w:rPr>
          <w:i/>
          <w:iCs/>
        </w:rPr>
      </w:pPr>
    </w:p>
    <w:p w14:paraId="3F3E3BAC" w14:textId="7C6E7790" w:rsidR="00605103" w:rsidRDefault="00605103" w:rsidP="00605103">
      <w:pPr>
        <w:rPr>
          <w:i/>
          <w:iCs/>
        </w:rPr>
      </w:pPr>
      <w:r>
        <w:rPr>
          <w:i/>
          <w:iCs/>
        </w:rPr>
        <w:t>Search for the following text:</w:t>
      </w:r>
    </w:p>
    <w:p w14:paraId="51840F2D" w14:textId="4CA30528" w:rsidR="00605103" w:rsidRDefault="004901B6" w:rsidP="00605103">
      <w:r>
        <w:t>The Medicare Part D late enrollment penalty is a monthly premium add-on that applies to people who don't join a Medicare drug plan when they first become eligible or go without creditable drug coverage for 63 days or more. The penalty is calculated by multiplying 1% of the national base beneficiary premium by the number of uncovered months, rounded to the nearest 10 cents, and adding it to the monthly Part D premium. In 2024, the national base beneficiary premium is $34.70, so the penalty would be $0.3470 per uncovered month. The penalty is recalculated each year based on the new base premium amount, so it may increase each year.</w:t>
      </w:r>
    </w:p>
    <w:p w14:paraId="52470C16" w14:textId="77777777" w:rsidR="00605103" w:rsidRPr="00605103" w:rsidRDefault="00605103" w:rsidP="00605103">
      <w:pPr>
        <w:rPr>
          <w:i/>
          <w:iCs/>
        </w:rPr>
      </w:pPr>
      <w:r w:rsidRPr="000A4D00">
        <w:rPr>
          <w:i/>
          <w:iCs/>
        </w:rPr>
        <w:t>Replace the text above with:</w:t>
      </w:r>
    </w:p>
    <w:p w14:paraId="0C4444EC" w14:textId="26FBD113" w:rsidR="00FD6AC9" w:rsidRDefault="004901B6">
      <w:r>
        <w:t>The Medicare Part D late enrollment penalty is a monthly premium add-on that applies to people who don't join a Medicare drug plan when they first become eligible or go without creditable drug coverage for 63 days or more. The penalty is calculated by multiplying 1% of the national base beneficiary premium by the number of uncovered months, rounded to the nearest 10 cents, and adding it to the monthly Part D premium. In 2025, the national base beneficiary premium is $</w:t>
      </w:r>
      <w:r w:rsidRPr="004901B6">
        <w:t>36.78</w:t>
      </w:r>
      <w:r>
        <w:t>, so the penalty would be $0.3678 per uncovered month. The penalty is recalculated each year based on the new base premium amount, so it may increase each year.</w:t>
      </w:r>
    </w:p>
    <w:sectPr w:rsidR="00FD6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C9"/>
    <w:rsid w:val="00067672"/>
    <w:rsid w:val="000A33B5"/>
    <w:rsid w:val="000A4D00"/>
    <w:rsid w:val="000D77B8"/>
    <w:rsid w:val="001770FD"/>
    <w:rsid w:val="0020576D"/>
    <w:rsid w:val="002B26A2"/>
    <w:rsid w:val="00303323"/>
    <w:rsid w:val="00471244"/>
    <w:rsid w:val="004901B6"/>
    <w:rsid w:val="00605103"/>
    <w:rsid w:val="007F5EDD"/>
    <w:rsid w:val="009F3CD1"/>
    <w:rsid w:val="00B47718"/>
    <w:rsid w:val="00BE3D5A"/>
    <w:rsid w:val="00E53A09"/>
    <w:rsid w:val="00FD27ED"/>
    <w:rsid w:val="00FD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A9C7"/>
  <w15:chartTrackingRefBased/>
  <w15:docId w15:val="{2ADE56A2-8139-4116-8BDD-511E1ACD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7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6AC9"/>
    <w:rPr>
      <w:color w:val="0563C1" w:themeColor="hyperlink"/>
      <w:u w:val="single"/>
    </w:rPr>
  </w:style>
  <w:style w:type="character" w:styleId="UnresolvedMention">
    <w:name w:val="Unresolved Mention"/>
    <w:basedOn w:val="DefaultParagraphFont"/>
    <w:uiPriority w:val="99"/>
    <w:semiHidden/>
    <w:unhideWhenUsed/>
    <w:rsid w:val="00FD6AC9"/>
    <w:rPr>
      <w:color w:val="605E5C"/>
      <w:shd w:val="clear" w:color="auto" w:fill="E1DFDD"/>
    </w:rPr>
  </w:style>
  <w:style w:type="character" w:styleId="FollowedHyperlink">
    <w:name w:val="FollowedHyperlink"/>
    <w:basedOn w:val="DefaultParagraphFont"/>
    <w:uiPriority w:val="99"/>
    <w:semiHidden/>
    <w:unhideWhenUsed/>
    <w:rsid w:val="002B26A2"/>
    <w:rPr>
      <w:color w:val="954F72" w:themeColor="followedHyperlink"/>
      <w:u w:val="single"/>
    </w:rPr>
  </w:style>
  <w:style w:type="paragraph" w:styleId="NormalWeb">
    <w:name w:val="Normal (Web)"/>
    <w:basedOn w:val="Normal"/>
    <w:uiPriority w:val="99"/>
    <w:semiHidden/>
    <w:unhideWhenUsed/>
    <w:rsid w:val="000D77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13527">
      <w:bodyDiv w:val="1"/>
      <w:marLeft w:val="0"/>
      <w:marRight w:val="0"/>
      <w:marTop w:val="0"/>
      <w:marBottom w:val="0"/>
      <w:divBdr>
        <w:top w:val="none" w:sz="0" w:space="0" w:color="auto"/>
        <w:left w:val="none" w:sz="0" w:space="0" w:color="auto"/>
        <w:bottom w:val="none" w:sz="0" w:space="0" w:color="auto"/>
        <w:right w:val="none" w:sz="0" w:space="0" w:color="auto"/>
      </w:divBdr>
    </w:div>
    <w:div w:id="502429493">
      <w:bodyDiv w:val="1"/>
      <w:marLeft w:val="0"/>
      <w:marRight w:val="0"/>
      <w:marTop w:val="0"/>
      <w:marBottom w:val="0"/>
      <w:divBdr>
        <w:top w:val="none" w:sz="0" w:space="0" w:color="auto"/>
        <w:left w:val="none" w:sz="0" w:space="0" w:color="auto"/>
        <w:bottom w:val="none" w:sz="0" w:space="0" w:color="auto"/>
        <w:right w:val="none" w:sz="0" w:space="0" w:color="auto"/>
      </w:divBdr>
    </w:div>
    <w:div w:id="1209532946">
      <w:bodyDiv w:val="1"/>
      <w:marLeft w:val="0"/>
      <w:marRight w:val="0"/>
      <w:marTop w:val="0"/>
      <w:marBottom w:val="0"/>
      <w:divBdr>
        <w:top w:val="none" w:sz="0" w:space="0" w:color="auto"/>
        <w:left w:val="none" w:sz="0" w:space="0" w:color="auto"/>
        <w:bottom w:val="none" w:sz="0" w:space="0" w:color="auto"/>
        <w:right w:val="none" w:sz="0" w:space="0" w:color="auto"/>
      </w:divBdr>
    </w:div>
    <w:div w:id="188036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carehelper.net/for-patients/medicare?numbers=8" TargetMode="External"/><Relationship Id="rId13" Type="http://schemas.openxmlformats.org/officeDocument/2006/relationships/hyperlink" Target="https://healthcarehelper.net/healthcare-resources/medicare-calculators?numbers=4" TargetMode="External"/><Relationship Id="rId3" Type="http://schemas.openxmlformats.org/officeDocument/2006/relationships/webSettings" Target="webSettings.xml"/><Relationship Id="rId7" Type="http://schemas.openxmlformats.org/officeDocument/2006/relationships/hyperlink" Target="https://healthcarehelper.net/for-patients/medicare?numbers=8" TargetMode="External"/><Relationship Id="rId12" Type="http://schemas.openxmlformats.org/officeDocument/2006/relationships/hyperlink" Target="https://healthcarehelper.net/healthcare-resources/medicare-calculators?numbers=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ealthcarehelper.net/for-patients/medicare?numbers=8" TargetMode="External"/><Relationship Id="rId11" Type="http://schemas.openxmlformats.org/officeDocument/2006/relationships/hyperlink" Target="https://healthcarehelper.net/healthcare-resources/medicare-calculators?numbers=1" TargetMode="External"/><Relationship Id="rId5" Type="http://schemas.openxmlformats.org/officeDocument/2006/relationships/hyperlink" Target="https://healthcarehelper.net/for-patients/medicare?numbers=4" TargetMode="External"/><Relationship Id="rId15" Type="http://schemas.openxmlformats.org/officeDocument/2006/relationships/theme" Target="theme/theme1.xml"/><Relationship Id="rId10" Type="http://schemas.openxmlformats.org/officeDocument/2006/relationships/hyperlink" Target="https://healthcarehelper.net/healthcare-resources/medicare-calculators" TargetMode="External"/><Relationship Id="rId4" Type="http://schemas.openxmlformats.org/officeDocument/2006/relationships/hyperlink" Target="https://healthcarehelper.net/for-patients/medicare?numbers=1" TargetMode="External"/><Relationship Id="rId9" Type="http://schemas.openxmlformats.org/officeDocument/2006/relationships/hyperlink" Target="https://healthcarehelper.net/healthcare-resources/medicare-calculato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Welty</dc:creator>
  <cp:keywords/>
  <dc:description/>
  <cp:lastModifiedBy>Gordon Welty</cp:lastModifiedBy>
  <cp:revision>11</cp:revision>
  <dcterms:created xsi:type="dcterms:W3CDTF">2025-01-11T01:44:00Z</dcterms:created>
  <dcterms:modified xsi:type="dcterms:W3CDTF">2025-01-11T05:37:00Z</dcterms:modified>
</cp:coreProperties>
</file>