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MedVance Acquisition - Transaction Timeline and Deliverables</w:t>
      </w:r>
    </w:p>
    <w:p>
      <w:r>
        <w:rPr>
          <w:b/>
        </w:rPr>
        <w:t>Tenant/Candidate: Andrea Michael Dunn</w:t>
        <w:br/>
      </w:r>
      <w:r>
        <w:t>Address: 200 Washington Blvd, Apt 4C, Jersey City, NJ 07310</w:t>
        <w:br/>
      </w:r>
      <w:r>
        <w:t>Contact: (201) 555-0112 | andrea.dunn@Finthesiss.ai</w:t>
        <w:br/>
      </w:r>
    </w:p>
    <w:p>
      <w:pPr>
        <w:pStyle w:val="Heading2"/>
      </w:pPr>
      <w:r>
        <w:t>Transaction Details</w:t>
      </w:r>
    </w:p>
    <w:p>
      <w:r>
        <w:t>Target: MedVance Therapeutics ($450M acquisition by large-cap pharmaceutical client)</w:t>
      </w:r>
    </w:p>
    <w:p>
      <w:r>
        <w:t>Advisory Team: Castleton Strategies IBD, Healthcare and Life Sciences Group</w:t>
      </w:r>
    </w:p>
    <w:p>
      <w:r>
        <w:t>Vice President: Brendan Callahan | Lead Analyst: Andrea Michael Dunn</w:t>
      </w:r>
    </w:p>
    <w:p>
      <w:pPr>
        <w:pStyle w:val="Heading2"/>
      </w:pPr>
      <w:r>
        <w:t>Deal Schedule &amp; Deliverables</w:t>
      </w:r>
    </w:p>
    <w:p>
      <w:r>
        <w:t>1. Initial Diligence and Data Room Review: Review target product pipelines, clinical trial results, and historical financial performance. Completed January 20, 2026.</w:t>
      </w:r>
    </w:p>
    <w:p>
      <w:r>
        <w:t>2. Financial Model Construction: Build primary valuation models (Comparable Companies Analysis, Discounted Cash Flow, and Leveraged Buyout). Lead analyst: Andrea Michael Dunn. Target completion: February 18, 2026.</w:t>
      </w:r>
    </w:p>
    <w:p>
      <w:r>
        <w:t>3. Board Presentation Materials: Draft board deck slides, transaction rationale summaries, and sensitivity analyses. Target completion: October 20, 2026.</w:t>
      </w:r>
    </w:p>
    <w:p>
      <w:r>
        <w:t>4. Definitive Agreement and Sign-off: Final contract negotiations, legal reviews, and regulatory approvals. Target transaction closing: November 24,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