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Andrea Dunn - Monthly Budget Planning Notes</w:t>
      </w:r>
    </w:p>
    <w:p>
      <w:r>
        <w:t>This document outlines the personal budget limits, savings goals, and spending thresholds for Andrea Dunn.</w:t>
      </w:r>
    </w:p>
    <w:p>
      <w:pPr>
        <w:pStyle w:val="Heading2"/>
      </w:pPr>
      <w:r>
        <w:t>Emergency Fund and Savings Goals</w:t>
      </w:r>
    </w:p>
    <w:p>
      <w:r>
        <w:t>Emergency Fund Target: $500.00 per month.</w:t>
      </w:r>
    </w:p>
    <w:p>
      <w:r>
        <w:t>Mom-house Savings Target: $1,000.00 per month.</w:t>
      </w:r>
    </w:p>
    <w:p>
      <w:pPr>
        <w:pStyle w:val="Heading2"/>
      </w:pPr>
      <w:r>
        <w:t>Sneaker Portfolio Allocation</w:t>
      </w:r>
    </w:p>
    <w:p>
      <w:r>
        <w:t>To keep personal spending under control, sneaker purchases must adhere to the monthly sneaker fund limit.</w:t>
      </w:r>
    </w:p>
    <w:p>
      <w:r>
        <w:t>Andrea's monthly sneaker fund limit is $200.00.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