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28A8" w14:textId="77777777" w:rsidR="003711FD" w:rsidRPr="003948B0" w:rsidRDefault="00000000">
      <w:pPr>
        <w:pStyle w:val="Heading1"/>
        <w:rPr>
          <w:rFonts w:cstheme="majorHAnsi"/>
          <w:color w:val="auto"/>
        </w:rPr>
      </w:pPr>
      <w:bookmarkStart w:id="0" w:name="conclusion"/>
      <w:r w:rsidRPr="003948B0">
        <w:rPr>
          <w:rFonts w:cstheme="majorHAnsi"/>
          <w:color w:val="auto"/>
        </w:rPr>
        <w:t>6 Conclusion</w:t>
      </w:r>
    </w:p>
    <w:p w14:paraId="29F1AF77" w14:textId="77777777" w:rsidR="003711FD" w:rsidRPr="003948B0" w:rsidRDefault="00000000">
      <w:pPr>
        <w:pStyle w:val="Heading2"/>
        <w:rPr>
          <w:rFonts w:cstheme="majorHAnsi"/>
          <w:color w:val="auto"/>
        </w:rPr>
      </w:pPr>
      <w:bookmarkStart w:id="1" w:name="conclusion-1"/>
      <w:r w:rsidRPr="003948B0">
        <w:rPr>
          <w:rFonts w:cstheme="majorHAnsi"/>
          <w:color w:val="auto"/>
        </w:rPr>
        <w:t>6.1 Conclusion</w:t>
      </w:r>
    </w:p>
    <w:p w14:paraId="37E53A6D" w14:textId="77777777" w:rsidR="003711FD" w:rsidRPr="003948B0" w:rsidRDefault="00000000">
      <w:pPr>
        <w:pStyle w:val="FirstParagraph"/>
        <w:rPr>
          <w:rFonts w:asciiTheme="majorHAnsi" w:hAnsiTheme="majorHAnsi" w:cstheme="majorHAnsi"/>
        </w:rPr>
      </w:pPr>
      <w:r w:rsidRPr="003948B0">
        <w:rPr>
          <w:rFonts w:asciiTheme="majorHAnsi" w:hAnsiTheme="majorHAnsi" w:cstheme="majorHAnsi"/>
        </w:rPr>
        <w:t>The Handwriting Synthesis Web Application demonstrates how a focused, AI-powered system can transform digital text into realistic, personalized handwritten output with minimal user friction. By combining deep learning-based stroke generation (LSTM with Mixture Density Networks), flexible style customization (13 unique handwriting styles, adjustable neatness bias), and realistic post-processing effects (paper textures, ink variations, wear simulation), the application removes the common pain points of manual handwriting digitization. Neural handwriting generation via TensorFlow-based LSTM produces continuous stroke coordinates with natural-looking output, while multi-format support (SVG, PNG, PDF) and a robust T3 Stack architecture (Next.js 15, tRPC, Prisma, PostgreSQL) deliver responsive, type-safe experiences with real-time preview and seamless authentication. Background processing through Inngest enables asynchronous batch generation with progress tracking, and a comprehensive gallery management system allows users to save, organize, tag, and favorite their generations. Overall, the system centralizes creative handwriting tasks, improves productivity for users needing handwritten content, and scales to varied use cases with a modular, cloud-ready architecture that successfully bridges digital convenience with the personal touch of handwritten text.</w:t>
      </w:r>
    </w:p>
    <w:p w14:paraId="6FFF4B66" w14:textId="77777777" w:rsidR="003711FD" w:rsidRPr="003948B0" w:rsidRDefault="00000000">
      <w:pPr>
        <w:pStyle w:val="Heading2"/>
        <w:rPr>
          <w:rFonts w:cstheme="majorHAnsi"/>
          <w:color w:val="auto"/>
        </w:rPr>
      </w:pPr>
      <w:bookmarkStart w:id="2" w:name="limitations-of-the-system"/>
      <w:bookmarkEnd w:id="1"/>
      <w:r w:rsidRPr="003948B0">
        <w:rPr>
          <w:rFonts w:cstheme="majorHAnsi"/>
          <w:color w:val="auto"/>
        </w:rPr>
        <w:t>6.2 Limitations of the System</w:t>
      </w:r>
    </w:p>
    <w:p w14:paraId="2FFC8629" w14:textId="77777777" w:rsidR="003711FD" w:rsidRPr="003948B0" w:rsidRDefault="00000000">
      <w:pPr>
        <w:numPr>
          <w:ilvl w:val="0"/>
          <w:numId w:val="2"/>
        </w:numPr>
        <w:rPr>
          <w:rFonts w:asciiTheme="majorHAnsi" w:hAnsiTheme="majorHAnsi" w:cstheme="majorHAnsi"/>
        </w:rPr>
      </w:pPr>
      <w:r w:rsidRPr="003948B0">
        <w:rPr>
          <w:rFonts w:asciiTheme="majorHAnsi" w:hAnsiTheme="majorHAnsi" w:cstheme="majorHAnsi"/>
          <w:b/>
          <w:bCs/>
        </w:rPr>
        <w:t>Character Set Constraints:</w:t>
      </w:r>
      <w:r w:rsidRPr="003948B0">
        <w:rPr>
          <w:rFonts w:asciiTheme="majorHAnsi" w:hAnsiTheme="majorHAnsi" w:cstheme="majorHAnsi"/>
        </w:rPr>
        <w:t xml:space="preserve"> The neural model does not support letters Q, X, and Z (uppercase) due to underrepresentation in training data. Only basic ASCII characters (a-z, A-Z, 0-9, common punctuation) are supported—no Unicode, accented letters, emojis, or special symbols. Input is limited to 20 lines with 75 characters per line (1,500 characters total).</w:t>
      </w:r>
    </w:p>
    <w:p w14:paraId="05B3A159" w14:textId="77777777" w:rsidR="003711FD" w:rsidRPr="003948B0" w:rsidRDefault="00000000">
      <w:pPr>
        <w:numPr>
          <w:ilvl w:val="0"/>
          <w:numId w:val="2"/>
        </w:numPr>
        <w:rPr>
          <w:rFonts w:asciiTheme="majorHAnsi" w:hAnsiTheme="majorHAnsi" w:cstheme="majorHAnsi"/>
        </w:rPr>
      </w:pPr>
      <w:r w:rsidRPr="003948B0">
        <w:rPr>
          <w:rFonts w:asciiTheme="majorHAnsi" w:hAnsiTheme="majorHAnsi" w:cstheme="majorHAnsi"/>
          <w:b/>
          <w:bCs/>
        </w:rPr>
        <w:t>Style and Output Constraints:</w:t>
      </w:r>
      <w:r w:rsidRPr="003948B0">
        <w:rPr>
          <w:rFonts w:asciiTheme="majorHAnsi" w:hAnsiTheme="majorHAnsi" w:cstheme="majorHAnsi"/>
        </w:rPr>
        <w:t xml:space="preserve"> Only 13 pre-trained handwriting styles (0-12) are available with no custom style training capability. Each generation uses a single style throughout—mixed styles within one document are not supported. True cursive handwriting with proper letter connections is limited by character-by-character generation.</w:t>
      </w:r>
    </w:p>
    <w:p w14:paraId="57418DA0" w14:textId="77777777" w:rsidR="003711FD" w:rsidRPr="003948B0" w:rsidRDefault="00000000">
      <w:pPr>
        <w:numPr>
          <w:ilvl w:val="0"/>
          <w:numId w:val="2"/>
        </w:numPr>
        <w:rPr>
          <w:rFonts w:asciiTheme="majorHAnsi" w:hAnsiTheme="majorHAnsi" w:cstheme="majorHAnsi"/>
        </w:rPr>
      </w:pPr>
      <w:r w:rsidRPr="003948B0">
        <w:rPr>
          <w:rFonts w:asciiTheme="majorHAnsi" w:hAnsiTheme="majorHAnsi" w:cstheme="majorHAnsi"/>
          <w:b/>
          <w:bCs/>
        </w:rPr>
        <w:t>Performance and Scalability:</w:t>
      </w:r>
      <w:r w:rsidRPr="003948B0">
        <w:rPr>
          <w:rFonts w:asciiTheme="majorHAnsi" w:hAnsiTheme="majorHAnsi" w:cstheme="majorHAnsi"/>
        </w:rPr>
        <w:t xml:space="preserve"> TensorFlow model requires significant memory (~500MB) with 5-10 second load times on first request, creating cold-start impacts. Complex or lengthy text (approaching 1,500 characters) may take 10-15 seconds to generate. The synthesis API processes requests sequentially per model instance, requiring horizontal scaling for high concurrent loads.</w:t>
      </w:r>
    </w:p>
    <w:p w14:paraId="08E3191B" w14:textId="77777777" w:rsidR="003711FD" w:rsidRPr="003948B0" w:rsidRDefault="00000000">
      <w:pPr>
        <w:numPr>
          <w:ilvl w:val="0"/>
          <w:numId w:val="2"/>
        </w:numPr>
        <w:rPr>
          <w:rFonts w:asciiTheme="majorHAnsi" w:hAnsiTheme="majorHAnsi" w:cstheme="majorHAnsi"/>
        </w:rPr>
      </w:pPr>
      <w:r w:rsidRPr="003948B0">
        <w:rPr>
          <w:rFonts w:asciiTheme="majorHAnsi" w:hAnsiTheme="majorHAnsi" w:cstheme="majorHAnsi"/>
          <w:b/>
          <w:bCs/>
        </w:rPr>
        <w:t>Platform Dependencies:</w:t>
      </w:r>
      <w:r w:rsidRPr="003948B0">
        <w:rPr>
          <w:rFonts w:asciiTheme="majorHAnsi" w:hAnsiTheme="majorHAnsi" w:cstheme="majorHAnsi"/>
        </w:rPr>
        <w:t xml:space="preserve"> Reliability depends on external services (UploadThing for file storage, Inngest for background jobs, PostgreSQL hosting). Outages or API changes in these services can affect functionality. SVG rendering and color picker components require modern browser support—IE11 and legacy Edge are not supported.</w:t>
      </w:r>
    </w:p>
    <w:p w14:paraId="0B46DC74" w14:textId="77777777" w:rsidR="003711FD" w:rsidRPr="003948B0" w:rsidRDefault="00000000">
      <w:pPr>
        <w:numPr>
          <w:ilvl w:val="0"/>
          <w:numId w:val="2"/>
        </w:numPr>
        <w:rPr>
          <w:rFonts w:asciiTheme="majorHAnsi" w:hAnsiTheme="majorHAnsi" w:cstheme="majorHAnsi"/>
        </w:rPr>
      </w:pPr>
      <w:r w:rsidRPr="003948B0">
        <w:rPr>
          <w:rFonts w:asciiTheme="majorHAnsi" w:hAnsiTheme="majorHAnsi" w:cstheme="majorHAnsi"/>
          <w:b/>
          <w:bCs/>
        </w:rPr>
        <w:lastRenderedPageBreak/>
        <w:t>Security and Privacy Considerations:</w:t>
      </w:r>
      <w:r w:rsidRPr="003948B0">
        <w:rPr>
          <w:rFonts w:asciiTheme="majorHAnsi" w:hAnsiTheme="majorHAnsi" w:cstheme="majorHAnsi"/>
        </w:rPr>
        <w:t xml:space="preserve"> User-generated text content is stored in the database for gallery functionality without end-to-end encryption at rest. Sensitive or confidential text should not be processed through the system, though connections are secured via HTTPS.</w:t>
      </w:r>
    </w:p>
    <w:p w14:paraId="38841818" w14:textId="1950C8F2" w:rsidR="003711FD" w:rsidRPr="003948B0" w:rsidRDefault="00000000">
      <w:pPr>
        <w:numPr>
          <w:ilvl w:val="0"/>
          <w:numId w:val="2"/>
        </w:numPr>
        <w:rPr>
          <w:rFonts w:asciiTheme="majorHAnsi" w:hAnsiTheme="majorHAnsi" w:cstheme="majorHAnsi"/>
        </w:rPr>
      </w:pPr>
      <w:r w:rsidRPr="003948B0">
        <w:rPr>
          <w:rFonts w:asciiTheme="majorHAnsi" w:hAnsiTheme="majorHAnsi" w:cstheme="majorHAnsi"/>
          <w:b/>
          <w:bCs/>
        </w:rPr>
        <w:t>Mobile and Offline Experience:</w:t>
      </w:r>
      <w:r w:rsidRPr="003948B0">
        <w:rPr>
          <w:rFonts w:asciiTheme="majorHAnsi" w:hAnsiTheme="majorHAnsi" w:cstheme="majorHAnsi"/>
        </w:rPr>
        <w:t xml:space="preserve"> While the UI is responsive, complex parameter controls (color picker, sliders) are optimized for desktop interaction. The application requires an active internet connection for all functionality</w:t>
      </w:r>
      <w:r w:rsidR="003948B0">
        <w:rPr>
          <w:rFonts w:asciiTheme="majorHAnsi" w:hAnsiTheme="majorHAnsi" w:cstheme="majorHAnsi"/>
        </w:rPr>
        <w:t xml:space="preserve">, </w:t>
      </w:r>
      <w:r w:rsidRPr="003948B0">
        <w:rPr>
          <w:rFonts w:asciiTheme="majorHAnsi" w:hAnsiTheme="majorHAnsi" w:cstheme="majorHAnsi"/>
        </w:rPr>
        <w:t>offline caching or progressive web app features are not implemented.</w:t>
      </w:r>
    </w:p>
    <w:p w14:paraId="3E9D3546" w14:textId="77777777" w:rsidR="003711FD" w:rsidRPr="003948B0" w:rsidRDefault="00000000">
      <w:pPr>
        <w:numPr>
          <w:ilvl w:val="0"/>
          <w:numId w:val="2"/>
        </w:numPr>
        <w:rPr>
          <w:rFonts w:asciiTheme="majorHAnsi" w:hAnsiTheme="majorHAnsi" w:cstheme="majorHAnsi"/>
        </w:rPr>
      </w:pPr>
      <w:r w:rsidRPr="003948B0">
        <w:rPr>
          <w:rFonts w:asciiTheme="majorHAnsi" w:hAnsiTheme="majorHAnsi" w:cstheme="majorHAnsi"/>
          <w:b/>
          <w:bCs/>
        </w:rPr>
        <w:t>Output Quality Variations:</w:t>
      </w:r>
      <w:r w:rsidRPr="003948B0">
        <w:rPr>
          <w:rFonts w:asciiTheme="majorHAnsi" w:hAnsiTheme="majorHAnsi" w:cstheme="majorHAnsi"/>
        </w:rPr>
        <w:t xml:space="preserve"> Some handwriting styles produce more consistent output than others (styles 0, 9, and 12 are most reliable, while others may show occasional artifacts). Very long lines may show slight baseline drift or stroke density variations during extended sequence generation.</w:t>
      </w:r>
    </w:p>
    <w:p w14:paraId="30118F21" w14:textId="77777777" w:rsidR="003711FD" w:rsidRPr="003948B0" w:rsidRDefault="00000000">
      <w:pPr>
        <w:pStyle w:val="Heading2"/>
        <w:rPr>
          <w:rFonts w:cstheme="majorHAnsi"/>
          <w:color w:val="auto"/>
        </w:rPr>
      </w:pPr>
      <w:bookmarkStart w:id="3" w:name="future-scope-of-the-project"/>
      <w:bookmarkEnd w:id="2"/>
      <w:r w:rsidRPr="003948B0">
        <w:rPr>
          <w:rFonts w:cstheme="majorHAnsi"/>
          <w:color w:val="auto"/>
        </w:rPr>
        <w:t>6.3 Future Scope of the Project</w:t>
      </w:r>
    </w:p>
    <w:p w14:paraId="2CACB084"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Custom Handwriting Training:</w:t>
      </w:r>
      <w:r w:rsidRPr="003948B0">
        <w:rPr>
          <w:rFonts w:asciiTheme="majorHAnsi" w:hAnsiTheme="majorHAnsi" w:cstheme="majorHAnsi"/>
        </w:rPr>
        <w:t xml:space="preserve"> User handwriting capture for uploading personal samples to train personalized style models. Style transfer learning to fine-tune the base LSTM model on user-provided samples with minimal data requirements (10-20 samples). Handwriting analysis dashboard providing insights about characteristics (slant, pressure, spacing) and parameter suggestions.</w:t>
      </w:r>
    </w:p>
    <w:p w14:paraId="77FC9563"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Extended Character Support:</w:t>
      </w:r>
      <w:r w:rsidRPr="003948B0">
        <w:rPr>
          <w:rFonts w:asciiTheme="majorHAnsi" w:hAnsiTheme="majorHAnsi" w:cstheme="majorHAnsi"/>
        </w:rPr>
        <w:t xml:space="preserve"> Full Unicode support for international character sets (accented Latin characters, Cyrillic, Greek, CJK characters with separate training). Mathematical symbols for educational use cases (±, ×, ÷, √). Emoji integration alongside handwritten text for modern communication styles.</w:t>
      </w:r>
    </w:p>
    <w:p w14:paraId="2FFBE436"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Advanced Document Features:</w:t>
      </w:r>
      <w:r w:rsidRPr="003948B0">
        <w:rPr>
          <w:rFonts w:asciiTheme="majorHAnsi" w:hAnsiTheme="majorHAnsi" w:cstheme="majorHAnsi"/>
        </w:rPr>
        <w:t xml:space="preserve"> Multi-page PDF generation with consistent styling, headers, footers, and page numbers. Template library with pre-designed documents (letters, notes, postcards, invitations) and customizable handwritten regions. Dedicated signature generation mode and mixed media combining handwritten text with typed text, images, and diagrams.</w:t>
      </w:r>
    </w:p>
    <w:p w14:paraId="6D6EBF29"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AI-Powered Enhancements:</w:t>
      </w:r>
      <w:r w:rsidRPr="003948B0">
        <w:rPr>
          <w:rFonts w:asciiTheme="majorHAnsi" w:hAnsiTheme="majorHAnsi" w:cstheme="majorHAnsi"/>
        </w:rPr>
        <w:t xml:space="preserve"> Natural language processing for smart text formatting, automatic line breaking at phrase boundaries, and sentiment-based style recommendations. Handwriting-to-text OCR for uploading handwritten images and extracting text for editing and re-synthesis. Style recommendation engine suggesting handwriting styles based on document type, recipient, or occasion.</w:t>
      </w:r>
    </w:p>
    <w:p w14:paraId="4CA8760A"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Collaboration Features:</w:t>
      </w:r>
      <w:r w:rsidRPr="003948B0">
        <w:rPr>
          <w:rFonts w:asciiTheme="majorHAnsi" w:hAnsiTheme="majorHAnsi" w:cstheme="majorHAnsi"/>
        </w:rPr>
        <w:t xml:space="preserve"> Team workspaces with shared galleries and role-based access control (viewer, editor, admin). Community marketplace for sharing and discovering handwriting styles and document templates. Version history tracking with revert capabilities and commenting/annotation features for team collaboration.</w:t>
      </w:r>
    </w:p>
    <w:p w14:paraId="75C53811"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Platform Expansion:</w:t>
      </w:r>
      <w:r w:rsidRPr="003948B0">
        <w:rPr>
          <w:rFonts w:asciiTheme="majorHAnsi" w:hAnsiTheme="majorHAnsi" w:cstheme="majorHAnsi"/>
        </w:rPr>
        <w:t xml:space="preserve"> Native mobile applications (iOS/Android) with offline generation, camera integration for sample capture, share sheet integration, and widget support. </w:t>
      </w:r>
      <w:r w:rsidRPr="003948B0">
        <w:rPr>
          <w:rFonts w:asciiTheme="majorHAnsi" w:hAnsiTheme="majorHAnsi" w:cstheme="majorHAnsi"/>
        </w:rPr>
        <w:lastRenderedPageBreak/>
        <w:t>Desktop applications (Electron-based for Windows, macOS, Linux) with system tray integration, clipboard monitoring, and local file system access. Browser extension (Chrome/Firefox) for synthesizing selected text on any webpage.</w:t>
      </w:r>
    </w:p>
    <w:p w14:paraId="2A04ED99"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Integration Capabilities:</w:t>
      </w:r>
      <w:r w:rsidRPr="003948B0">
        <w:rPr>
          <w:rFonts w:asciiTheme="majorHAnsi" w:hAnsiTheme="majorHAnsi" w:cstheme="majorHAnsi"/>
        </w:rPr>
        <w:t xml:space="preserve"> Public REST API with OAuth 2.0 authentication for third-party integrations. Webhook support for real-time generation completion notifications. Pre-built connectors for Zapier/Make automation platforms. Direct CRM integration (Salesforce, HubSpot) for personalized handwritten communication. E-commerce plugins (Shopify, WooCommerce, Etsy) for handwritten thank-you notes and packaging inserts.</w:t>
      </w:r>
    </w:p>
    <w:p w14:paraId="1A1BBF28"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Analytics and Insights:</w:t>
      </w:r>
      <w:r w:rsidRPr="003948B0">
        <w:rPr>
          <w:rFonts w:asciiTheme="majorHAnsi" w:hAnsiTheme="majorHAnsi" w:cstheme="majorHAnsi"/>
        </w:rPr>
        <w:t xml:space="preserve"> Usage analytics dashboard with generation counts, trends, most-used styles, credit consumption patterns, and peak usage times. A/B testing tools for comparing handwriting styles and parameters. Automated quality assessment with parameter adjustment suggestions.</w:t>
      </w:r>
    </w:p>
    <w:p w14:paraId="35811A54"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Enterprise Features:</w:t>
      </w:r>
      <w:r w:rsidRPr="003948B0">
        <w:rPr>
          <w:rFonts w:asciiTheme="majorHAnsi" w:hAnsiTheme="majorHAnsi" w:cstheme="majorHAnsi"/>
        </w:rPr>
        <w:t xml:space="preserve"> Single Sign-On (SSO) with SAML 2.0 and OpenID Connect support. Role-based access control (RBAC) for granular team permissions. Comprehensive audit logging for compliance (SOC 2, GDPR). Regional data storage options for geographic compliance requirements. Bulk generation and export capabilities for marketing campaigns. White-label solution with customizable branding for enterprise customers.</w:t>
      </w:r>
    </w:p>
    <w:p w14:paraId="34DBD638" w14:textId="77777777" w:rsidR="003711FD" w:rsidRPr="003948B0" w:rsidRDefault="00000000">
      <w:pPr>
        <w:numPr>
          <w:ilvl w:val="0"/>
          <w:numId w:val="3"/>
        </w:numPr>
        <w:rPr>
          <w:rFonts w:asciiTheme="majorHAnsi" w:hAnsiTheme="majorHAnsi" w:cstheme="majorHAnsi"/>
        </w:rPr>
      </w:pPr>
      <w:r w:rsidRPr="003948B0">
        <w:rPr>
          <w:rFonts w:asciiTheme="majorHAnsi" w:hAnsiTheme="majorHAnsi" w:cstheme="majorHAnsi"/>
          <w:b/>
          <w:bCs/>
        </w:rPr>
        <w:t>Performance Optimizations:</w:t>
      </w:r>
      <w:r w:rsidRPr="003948B0">
        <w:rPr>
          <w:rFonts w:asciiTheme="majorHAnsi" w:hAnsiTheme="majorHAnsi" w:cstheme="majorHAnsi"/>
        </w:rPr>
        <w:t xml:space="preserve"> Edge deployment of synthesis models (Cloudflare Workers AI, AWS Lambda@Edge) for reduced latency. INT8 quantization for faster inference with minimal quality loss. Real-time streaming of SVG strokes as they are generated for immediate visual feedback. Intelligent caching of common text patterns and style combinations for instant retrieval.</w:t>
      </w:r>
      <w:bookmarkEnd w:id="0"/>
      <w:bookmarkEnd w:id="3"/>
    </w:p>
    <w:sectPr w:rsidR="003711FD" w:rsidRPr="003948B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457AD" w14:textId="77777777" w:rsidR="005B7B9C" w:rsidRDefault="005B7B9C">
      <w:pPr>
        <w:spacing w:after="0"/>
      </w:pPr>
      <w:r>
        <w:separator/>
      </w:r>
    </w:p>
  </w:endnote>
  <w:endnote w:type="continuationSeparator" w:id="0">
    <w:p w14:paraId="1B7EBF6D" w14:textId="77777777" w:rsidR="005B7B9C" w:rsidRDefault="005B7B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2AD12" w14:textId="77777777" w:rsidR="005B7B9C" w:rsidRDefault="005B7B9C">
      <w:r>
        <w:separator/>
      </w:r>
    </w:p>
  </w:footnote>
  <w:footnote w:type="continuationSeparator" w:id="0">
    <w:p w14:paraId="48C6A771" w14:textId="77777777" w:rsidR="005B7B9C" w:rsidRDefault="005B7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86B0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3229C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78661698">
    <w:abstractNumId w:val="0"/>
  </w:num>
  <w:num w:numId="2" w16cid:durableId="1016075987">
    <w:abstractNumId w:val="1"/>
  </w:num>
  <w:num w:numId="3" w16cid:durableId="2020034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FD"/>
    <w:rsid w:val="003711FD"/>
    <w:rsid w:val="003948B0"/>
    <w:rsid w:val="00420ECD"/>
    <w:rsid w:val="005B7B9C"/>
    <w:rsid w:val="0068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00E0"/>
  <w15:docId w15:val="{D3884F63-1597-4737-A953-BA95826A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1096</Words>
  <Characters>6250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Bhadra Gada</dc:creator>
  <cp:keywords/>
  <cp:lastModifiedBy>Bhadra Gada</cp:lastModifiedBy>
  <cp:revision>2</cp:revision>
  <dcterms:created xsi:type="dcterms:W3CDTF">2026-02-15T18:27:00Z</dcterms:created>
  <dcterms:modified xsi:type="dcterms:W3CDTF">2026-02-15T18:27:00Z</dcterms:modified>
</cp:coreProperties>
</file>