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wrylcch1b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Generative AI System Design – Architect-Level Syllabus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(FAANG-grade, Production + Interview Ready)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s93c9f916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– Foundations of GenAI System Design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bip8blnrm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(Lay the base, align with architecture thinking)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Evolution of System Design in AI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traditional distributed systems → ML systems → LLM-powered architectures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GenAI needs new patterns (dynamic orchestration, multi-modal, tool-augmented)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Principles of System Design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Scalability, reliability, availability, consistency, latency trade-offs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these principles shift with AI workloads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GenAI-Specific Constraints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latency &amp; throughput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 limits &amp; context window design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privacy &amp; compliance (GDPR, HIPAA, DPDP)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HLD vs LLD in GenAI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Mapping each to AI lifecycle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 of architecture diagrams, data flow maps, sequence diagrams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qoq6kw2hw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– High-Level Design (HLD) for GenAI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Component Layering in GenAI Systems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Presentation, Orchestration, LLM, Data, Infra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GenAI Architectural Patterns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RAG (basic, advanced, hybrid)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Agentic orchestration (LangChain, LangGraph, AutoGen, CrewAI)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Multi-modal pipelines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Patterns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gateway, microservices, serverless patterns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Multi-LLM routing &amp; fallback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Security, Compliance, and Guardrails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encryption, access control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Hallucination prevention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Moderation layers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f2leh7uk6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 – Low-Level Design (LLD) for GenAI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Ingestion &amp; Preprocessing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Loaders, chunking, cleaning, enrichment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Embedding &amp; Vector Store Layer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Embedding selection, dimensionality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Pinecone, Qdrant, Milvus, Weaviate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Hybrid search (vector + BM25 + metadata filtering)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Orchestration Layer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templates, chains, LCEL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prompt assembly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Patterns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ReAct, Plan-and-Execute, Toolformer, Multi-agent negotiation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management (LangGraph AgentState)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&amp; Structured Outputs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Pydantic v2, JSON Schema enforcement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validators, before/after transforms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 Layer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RAGAS, TruLens, human feedback loops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Observability Layer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Logging, tracing, monitoring (LangSmith, OpenTelemetry)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Token/cost tracking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79x8lws21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 – Production-Grade GenAI Architectures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FAANG-Grade RAG Pipelines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Modular, service-oriented RAG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Domain-specific optimizations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Enterprise-Ready Agent Systems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 registry, execution sandboxing, HITL integration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&amp; Deployment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GPU inference endpoints (vLLM, TensorRT-LLM)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AWS/GCP/Azure patterns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CI/CD for LLMOps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Caching &amp; Performance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caching, embedding caching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Latency optimization strategies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ymcysi798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 – Specialized GenAI System Designs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Multi-Modal System Design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Vision-Language models, speech pipelines, document parsing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Domain-Specific GenAI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Legal, medical, financial, e-commerce architectures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Compliance-Aware Architectures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LexiGuard-style governance layers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Multi-jurisdiction compliance mapping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2xpbh1e6f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6 – Future-Readiness &amp; Advanced Patterns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Self-Improving Systems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Auto-evaluation → auto-finetuning loops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 prompt optimization (DSPy, PromptLayer)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On-Device &amp; Edge GenAI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Running LLMs locally (GGUF, Ollama, MLX)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Hybrid Human+AI Systems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Human-in-the-loop at design, inference, and feedback stages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GenAI System Design Anti-Patterns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to avoid in architecture and why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vwtdoon6v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 for Each Module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every module above, you’ll prepare: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Theory Notes: 10–30 pages each, FAANG-grade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Interview QnA: 15–30 scenario-based questions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Diagrams: HLD &amp; LLD visualizations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Mini-Project / Pattern Demo: Minimal but functional code artifact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Practices &amp; Pitfalls: Production lessons learned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bu3yrn0wx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Works for You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Covers breadth &amp; depth — aligns with your Principal Architect target level.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Blends interview prep + real-world readiness — every topic has both design theory &amp; code pattern.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Matches your projects — You can cross-link with your LexiGuard, Travel Planner, and Document Portal builds for portfolio-ready case studies.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Future-proof — Includes emerging patterns (multi-modal, self-improving, compliance-focused).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