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Table 1: Constructs and features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Justification for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 id (in code)</w:t>
            </w:r>
          </w:p>
        </w:tc>
      </w:tr>
      <w:tr>
        <w:trPr>
          <w:cantSplit w:val="0"/>
          <w:trHeight w:val="130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Political 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Pay attention to politics/elections?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Political 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Party 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value of the response cannot be ordered.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Political 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Presidential candidate preference,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value of the response cannot be ordered.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Political 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Republican presidential feeling thermometer, 2020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Score out of 100 denoting relative attitudes.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Political 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Democratic presidential feeling thermometer,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Score out of 100 denoting relative attitudes.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Political affiliation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Political affiliation (Liberal/Conservative)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value of the response cannot be ordered.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Does the federal government maintain integrity?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Do big interests dominate the government?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How much tax money does the government waste?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Level of corruption in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Relative level of corruption in government since Trump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Does the federal government treat Blacks or Whites better?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Respondents’ voice in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c557d"/>
                <w:sz w:val="20"/>
                <w:szCs w:val="20"/>
                <w:rtl w:val="0"/>
              </w:rPr>
              <w:t xml:space="preserve">Trust in the government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557d"/>
                <w:sz w:val="20"/>
                <w:szCs w:val="20"/>
                <w:rtl w:val="0"/>
              </w:rPr>
              <w:t xml:space="preserve">Does the government value peoples’ opinions?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Likert scale, the numerical order of the response matters.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eel Bhagwat" w:id="0" w:date="2022-12-07T03:02:27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@ishanegi29@gwmail.gwu.edu please fill this out.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ishanegi29@gwmail.gwu.edu_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