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color w:val="19415F"/>
          <w:sz w:val="32"/>
        </w:rPr>
        <w:t>BODHIMEDHA</w:t>
      </w:r>
    </w:p>
    <w:p>
      <w:pPr>
        <w:pStyle w:val="Title"/>
        <w:jc w:val="center"/>
      </w:pPr>
      <w:r>
        <w:t>Software Requirements Specification</w:t>
      </w:r>
    </w:p>
    <w:p>
      <w:pPr>
        <w:jc w:val="center"/>
      </w:pPr>
      <w:r>
        <w:rPr>
          <w:b/>
          <w:sz w:val="30"/>
        </w:rPr>
        <w:t>Minimum Viable Product (MVP)</w:t>
      </w:r>
    </w:p>
    <w:p>
      <w:pPr>
        <w:jc w:val="center"/>
      </w:pPr>
      <w:r>
        <w:t>Version 1.0  |  16 October 2026  |  Status: Draft for implementation</w:t>
      </w:r>
    </w:p>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CFE2F3"/>
          </w:tcPr>
          <w:p>
            <w:pPr>
              <w:spacing w:after="20"/>
            </w:pPr>
            <w:r/>
            <w:r>
              <w:rPr>
                <w:b/>
                <w:sz w:val="17"/>
              </w:rPr>
              <w:t>Document field</w:t>
            </w:r>
          </w:p>
        </w:tc>
        <w:tc>
          <w:tcPr>
            <w:tcW w:type="dxa" w:w="8064"/>
            <w:vAlign w:val="center"/>
            <w:shd w:fill="CFE2F3"/>
          </w:tcPr>
          <w:p>
            <w:pPr>
              <w:spacing w:after="20"/>
            </w:pPr>
            <w:r/>
            <w:r>
              <w:rPr>
                <w:b/>
                <w:sz w:val="17"/>
              </w:rPr>
              <w:t>Value</w:t>
            </w:r>
          </w:p>
        </w:tc>
      </w:tr>
      <w:tr>
        <w:tc>
          <w:tcPr>
            <w:tcW w:type="dxa" w:w="2304"/>
            <w:vAlign w:val="center"/>
          </w:tcPr>
          <w:p>
            <w:pPr>
              <w:spacing w:after="20"/>
            </w:pPr>
            <w:r/>
            <w:r>
              <w:rPr>
                <w:b w:val="0"/>
                <w:sz w:val="17"/>
              </w:rPr>
              <w:t>Product</w:t>
            </w:r>
          </w:p>
        </w:tc>
        <w:tc>
          <w:tcPr>
            <w:tcW w:type="dxa" w:w="8064"/>
            <w:vAlign w:val="center"/>
          </w:tcPr>
          <w:p>
            <w:pPr>
              <w:spacing w:after="20"/>
            </w:pPr>
            <w:r/>
            <w:r>
              <w:rPr>
                <w:b w:val="0"/>
                <w:sz w:val="17"/>
              </w:rPr>
              <w:t>BodhiMedha</w:t>
            </w:r>
          </w:p>
        </w:tc>
      </w:tr>
      <w:tr>
        <w:tc>
          <w:tcPr>
            <w:tcW w:type="dxa" w:w="2304"/>
            <w:vAlign w:val="center"/>
          </w:tcPr>
          <w:p>
            <w:pPr>
              <w:spacing w:after="20"/>
            </w:pPr>
            <w:r/>
            <w:r>
              <w:rPr>
                <w:b w:val="0"/>
                <w:sz w:val="17"/>
              </w:rPr>
              <w:t>Document type</w:t>
            </w:r>
          </w:p>
        </w:tc>
        <w:tc>
          <w:tcPr>
            <w:tcW w:type="dxa" w:w="8064"/>
            <w:vAlign w:val="center"/>
          </w:tcPr>
          <w:p>
            <w:pPr>
              <w:spacing w:after="20"/>
            </w:pPr>
            <w:r/>
            <w:r>
              <w:rPr>
                <w:b w:val="0"/>
                <w:sz w:val="17"/>
              </w:rPr>
              <w:t>Software Requirements Specification (SRS)</w:t>
            </w:r>
          </w:p>
        </w:tc>
      </w:tr>
      <w:tr>
        <w:tc>
          <w:tcPr>
            <w:tcW w:type="dxa" w:w="2304"/>
            <w:vAlign w:val="center"/>
          </w:tcPr>
          <w:p>
            <w:pPr>
              <w:spacing w:after="20"/>
            </w:pPr>
            <w:r/>
            <w:r>
              <w:rPr>
                <w:b w:val="0"/>
                <w:sz w:val="17"/>
              </w:rPr>
              <w:t>Release scope</w:t>
            </w:r>
          </w:p>
        </w:tc>
        <w:tc>
          <w:tcPr>
            <w:tcW w:type="dxa" w:w="8064"/>
            <w:vAlign w:val="center"/>
          </w:tcPr>
          <w:p>
            <w:pPr>
              <w:spacing w:after="20"/>
            </w:pPr>
            <w:r/>
            <w:r>
              <w:rPr>
                <w:b w:val="0"/>
                <w:sz w:val="17"/>
              </w:rPr>
              <w:t>MVP — one college syllabus and a prepared Python learning module</w:t>
            </w:r>
          </w:p>
        </w:tc>
      </w:tr>
      <w:tr>
        <w:tc>
          <w:tcPr>
            <w:tcW w:type="dxa" w:w="2304"/>
            <w:vAlign w:val="center"/>
          </w:tcPr>
          <w:p>
            <w:pPr>
              <w:spacing w:after="20"/>
            </w:pPr>
            <w:r/>
            <w:r>
              <w:rPr>
                <w:b w:val="0"/>
                <w:sz w:val="17"/>
              </w:rPr>
              <w:t>Primary users</w:t>
            </w:r>
          </w:p>
        </w:tc>
        <w:tc>
          <w:tcPr>
            <w:tcW w:type="dxa" w:w="8064"/>
            <w:vAlign w:val="center"/>
          </w:tcPr>
          <w:p>
            <w:pPr>
              <w:spacing w:after="20"/>
            </w:pPr>
            <w:r/>
            <w:r>
              <w:rPr>
                <w:b w:val="0"/>
                <w:sz w:val="17"/>
              </w:rPr>
              <w:t>Student and Teacher</w:t>
            </w:r>
          </w:p>
        </w:tc>
      </w:tr>
      <w:tr>
        <w:tc>
          <w:tcPr>
            <w:tcW w:type="dxa" w:w="2304"/>
            <w:vAlign w:val="center"/>
          </w:tcPr>
          <w:p>
            <w:pPr>
              <w:spacing w:after="20"/>
            </w:pPr>
            <w:r/>
            <w:r>
              <w:rPr>
                <w:b w:val="0"/>
                <w:sz w:val="17"/>
              </w:rPr>
              <w:t>Proposed stack</w:t>
            </w:r>
          </w:p>
        </w:tc>
        <w:tc>
          <w:tcPr>
            <w:tcW w:type="dxa" w:w="8064"/>
            <w:vAlign w:val="center"/>
          </w:tcPr>
          <w:p>
            <w:pPr>
              <w:spacing w:after="20"/>
            </w:pPr>
            <w:r/>
            <w:r>
              <w:rPr>
                <w:b w:val="0"/>
                <w:sz w:val="17"/>
              </w:rPr>
              <w:t>React + TypeScript + Vite; FastAPI; PostgreSQL; isolated Python code runner</w:t>
            </w:r>
          </w:p>
        </w:tc>
      </w:tr>
      <w:tr>
        <w:tc>
          <w:tcPr>
            <w:tcW w:type="dxa" w:w="2304"/>
            <w:vAlign w:val="center"/>
          </w:tcPr>
          <w:p>
            <w:pPr>
              <w:spacing w:after="20"/>
            </w:pPr>
            <w:r/>
            <w:r>
              <w:rPr>
                <w:b w:val="0"/>
                <w:sz w:val="17"/>
              </w:rPr>
              <w:t>Status statement</w:t>
            </w:r>
          </w:p>
        </w:tc>
        <w:tc>
          <w:tcPr>
            <w:tcW w:type="dxa" w:w="8064"/>
            <w:vAlign w:val="center"/>
          </w:tcPr>
          <w:p>
            <w:pPr>
              <w:spacing w:after="20"/>
            </w:pPr>
            <w:r/>
            <w:r>
              <w:rPr>
                <w:b w:val="0"/>
                <w:sz w:val="17"/>
              </w:rPr>
              <w:t>This document defines intended MVP requirements. It does not assert that the application has been implemented or tested.</w:t>
            </w:r>
          </w:p>
        </w:tc>
      </w:tr>
    </w:tbl>
    <w:p/>
    <w:p>
      <w:pPr>
        <w:pStyle w:val="Heading1"/>
      </w:pPr>
      <w:r>
        <w:t>Document Control</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CFE2F3"/>
          </w:tcPr>
          <w:p>
            <w:pPr>
              <w:spacing w:after="20"/>
            </w:pPr>
            <w:r/>
            <w:r>
              <w:rPr>
                <w:b/>
                <w:sz w:val="17"/>
              </w:rPr>
              <w:t>Version</w:t>
            </w:r>
          </w:p>
        </w:tc>
        <w:tc>
          <w:tcPr>
            <w:tcW w:type="dxa" w:w="2160"/>
            <w:vAlign w:val="center"/>
            <w:shd w:fill="CFE2F3"/>
          </w:tcPr>
          <w:p>
            <w:pPr>
              <w:spacing w:after="20"/>
            </w:pPr>
            <w:r/>
            <w:r>
              <w:rPr>
                <w:b/>
                <w:sz w:val="17"/>
              </w:rPr>
              <w:t>Date</w:t>
            </w:r>
          </w:p>
        </w:tc>
        <w:tc>
          <w:tcPr>
            <w:tcW w:type="dxa" w:w="6768"/>
            <w:vAlign w:val="center"/>
            <w:shd w:fill="CFE2F3"/>
          </w:tcPr>
          <w:p>
            <w:pPr>
              <w:spacing w:after="20"/>
            </w:pPr>
            <w:r/>
            <w:r>
              <w:rPr>
                <w:b/>
                <w:sz w:val="17"/>
              </w:rPr>
              <w:t>Description</w:t>
            </w:r>
          </w:p>
        </w:tc>
      </w:tr>
      <w:tr>
        <w:tc>
          <w:tcPr>
            <w:tcW w:type="dxa" w:w="1440"/>
            <w:vAlign w:val="center"/>
          </w:tcPr>
          <w:p>
            <w:pPr>
              <w:spacing w:after="20"/>
            </w:pPr>
            <w:r/>
            <w:r>
              <w:rPr>
                <w:b w:val="0"/>
                <w:sz w:val="17"/>
              </w:rPr>
              <w:t>1.0</w:t>
            </w:r>
          </w:p>
        </w:tc>
        <w:tc>
          <w:tcPr>
            <w:tcW w:type="dxa" w:w="2160"/>
            <w:vAlign w:val="center"/>
          </w:tcPr>
          <w:p>
            <w:pPr>
              <w:spacing w:after="20"/>
            </w:pPr>
            <w:r/>
            <w:r>
              <w:rPr>
                <w:b w:val="0"/>
                <w:sz w:val="17"/>
              </w:rPr>
              <w:t>16 October 2026</w:t>
            </w:r>
          </w:p>
        </w:tc>
        <w:tc>
          <w:tcPr>
            <w:tcW w:type="dxa" w:w="6768"/>
            <w:vAlign w:val="center"/>
          </w:tcPr>
          <w:p>
            <w:pPr>
              <w:spacing w:after="20"/>
            </w:pPr>
            <w:r/>
            <w:r>
              <w:rPr>
                <w:b w:val="0"/>
                <w:sz w:val="17"/>
              </w:rPr>
              <w:t>Initial MVP SRS based on the agreed simplified BodhiMedha scope.</w:t>
            </w:r>
          </w:p>
        </w:tc>
      </w:tr>
    </w:tbl>
    <w:p/>
    <w:p>
      <w:pPr>
        <w:pStyle w:val="Heading1"/>
      </w:pPr>
      <w:r>
        <w:t>1. Introduction</w:t>
      </w:r>
    </w:p>
    <w:p>
      <w:pPr>
        <w:pStyle w:val="Heading2"/>
      </w:pPr>
      <w:r>
        <w:t>1.1 Purpose</w:t>
      </w:r>
    </w:p>
    <w:p>
      <w:r>
        <w:t>This Software Requirements Specification defines the functional and non-functional requirements for the BodhiMedha MVP. It is intended to guide product design, implementation, testing, and demonstration. It establishes the minimum system behavior needed to demonstrate an adaptive learning loop for Python programming.</w:t>
      </w:r>
    </w:p>
    <w:p>
      <w:pPr>
        <w:pStyle w:val="Heading2"/>
      </w:pPr>
      <w:r>
        <w:t>1.2 Product vision</w:t>
      </w:r>
    </w:p>
    <w:p>
      <w:r>
        <w:t>BodhiMedha helps a student practice a programming concept, demonstrates what the student currently understands through assessment evidence, and recommends a useful next learning activity. A teacher can review the evidence and the recommendation.</w:t>
      </w:r>
    </w:p>
    <w:p>
      <w:pPr>
        <w:pStyle w:val="Heading2"/>
      </w:pPr>
      <w:r>
        <w:t>1.3 Scope of this SRS</w:t>
      </w:r>
    </w:p>
    <w:p>
      <w:r>
        <w:t>This SRS covers one prepared Python learning module, diagnostic questions, a coding task evaluated in an isolated execution environment, two explain-your-code questions, a transparent rule-based next-step recommendation, and a basic teacher results view.</w:t>
      </w:r>
    </w:p>
    <w:p>
      <w:pPr>
        <w:pStyle w:val="Heading2"/>
      </w:pPr>
      <w:r>
        <w:t>1.4 Intended audience</w:t>
      </w:r>
    </w:p>
    <w:p>
      <w:pPr>
        <w:pStyle w:val="ListBullet"/>
        <w:spacing w:after="40"/>
      </w:pPr>
      <w:r>
        <w:t>Product owner and project team</w:t>
      </w:r>
    </w:p>
    <w:p>
      <w:pPr>
        <w:pStyle w:val="ListBullet"/>
        <w:spacing w:after="40"/>
      </w:pPr>
      <w:r>
        <w:t>Frontend and backend developers</w:t>
      </w:r>
    </w:p>
    <w:p>
      <w:pPr>
        <w:pStyle w:val="ListBullet"/>
        <w:spacing w:after="40"/>
      </w:pPr>
      <w:r>
        <w:t>Database designer</w:t>
      </w:r>
    </w:p>
    <w:p>
      <w:pPr>
        <w:pStyle w:val="ListBullet"/>
        <w:spacing w:after="40"/>
      </w:pPr>
      <w:r>
        <w:t>QA/test engineer</w:t>
      </w:r>
    </w:p>
    <w:p>
      <w:pPr>
        <w:pStyle w:val="ListBullet"/>
        <w:spacing w:after="40"/>
      </w:pPr>
      <w:r>
        <w:t>Teacher or subject-matter reviewer</w:t>
      </w:r>
    </w:p>
    <w:p>
      <w:pPr>
        <w:pStyle w:val="Heading2"/>
      </w:pPr>
      <w:r>
        <w:t>1.5 Definitions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CFE2F3"/>
          </w:tcPr>
          <w:p>
            <w:pPr>
              <w:spacing w:after="20"/>
            </w:pPr>
            <w:r/>
            <w:r>
              <w:rPr>
                <w:b/>
                <w:sz w:val="17"/>
              </w:rPr>
              <w:t>Term</w:t>
            </w:r>
          </w:p>
        </w:tc>
        <w:tc>
          <w:tcPr>
            <w:tcW w:type="dxa" w:w="8064"/>
            <w:vAlign w:val="center"/>
            <w:shd w:fill="CFE2F3"/>
          </w:tcPr>
          <w:p>
            <w:pPr>
              <w:spacing w:after="20"/>
            </w:pPr>
            <w:r/>
            <w:r>
              <w:rPr>
                <w:b/>
                <w:sz w:val="17"/>
              </w:rPr>
              <w:t>Meaning in this SRS</w:t>
            </w:r>
          </w:p>
        </w:tc>
      </w:tr>
      <w:tr>
        <w:tc>
          <w:tcPr>
            <w:tcW w:type="dxa" w:w="2304"/>
            <w:vAlign w:val="center"/>
          </w:tcPr>
          <w:p>
            <w:pPr>
              <w:spacing w:after="20"/>
            </w:pPr>
            <w:r/>
            <w:r>
              <w:rPr>
                <w:b w:val="0"/>
                <w:sz w:val="17"/>
              </w:rPr>
              <w:t>MVP</w:t>
            </w:r>
          </w:p>
        </w:tc>
        <w:tc>
          <w:tcPr>
            <w:tcW w:type="dxa" w:w="8064"/>
            <w:vAlign w:val="center"/>
          </w:tcPr>
          <w:p>
            <w:pPr>
              <w:spacing w:after="20"/>
            </w:pPr>
            <w:r/>
            <w:r>
              <w:rPr>
                <w:b w:val="0"/>
                <w:sz w:val="17"/>
              </w:rPr>
              <w:t>Minimum Viable Product: the smallest product that can demonstrate the core user value.</w:t>
            </w:r>
          </w:p>
        </w:tc>
      </w:tr>
      <w:tr>
        <w:tc>
          <w:tcPr>
            <w:tcW w:type="dxa" w:w="2304"/>
            <w:vAlign w:val="center"/>
          </w:tcPr>
          <w:p>
            <w:pPr>
              <w:spacing w:after="20"/>
            </w:pPr>
            <w:r/>
            <w:r>
              <w:rPr>
                <w:b w:val="0"/>
                <w:sz w:val="17"/>
              </w:rPr>
              <w:t>Concept</w:t>
            </w:r>
          </w:p>
        </w:tc>
        <w:tc>
          <w:tcPr>
            <w:tcW w:type="dxa" w:w="8064"/>
            <w:vAlign w:val="center"/>
          </w:tcPr>
          <w:p>
            <w:pPr>
              <w:spacing w:after="20"/>
            </w:pPr>
            <w:r/>
            <w:r>
              <w:rPr>
                <w:b w:val="0"/>
                <w:sz w:val="17"/>
              </w:rPr>
              <w:t>A defined learning topic, such as variables, conditionals, loops, or functions.</w:t>
            </w:r>
          </w:p>
        </w:tc>
      </w:tr>
      <w:tr>
        <w:tc>
          <w:tcPr>
            <w:tcW w:type="dxa" w:w="2304"/>
            <w:vAlign w:val="center"/>
          </w:tcPr>
          <w:p>
            <w:pPr>
              <w:spacing w:after="20"/>
            </w:pPr>
            <w:r/>
            <w:r>
              <w:rPr>
                <w:b w:val="0"/>
                <w:sz w:val="17"/>
              </w:rPr>
              <w:t>Diagnostic</w:t>
            </w:r>
          </w:p>
        </w:tc>
        <w:tc>
          <w:tcPr>
            <w:tcW w:type="dxa" w:w="8064"/>
            <w:vAlign w:val="center"/>
          </w:tcPr>
          <w:p>
            <w:pPr>
              <w:spacing w:after="20"/>
            </w:pPr>
            <w:r/>
            <w:r>
              <w:rPr>
                <w:b w:val="0"/>
                <w:sz w:val="17"/>
              </w:rPr>
              <w:t>A short set of questions used to estimate a student's starting understanding.</w:t>
            </w:r>
          </w:p>
        </w:tc>
      </w:tr>
      <w:tr>
        <w:tc>
          <w:tcPr>
            <w:tcW w:type="dxa" w:w="2304"/>
            <w:vAlign w:val="center"/>
          </w:tcPr>
          <w:p>
            <w:pPr>
              <w:spacing w:after="20"/>
            </w:pPr>
            <w:r/>
            <w:r>
              <w:rPr>
                <w:b w:val="0"/>
                <w:sz w:val="17"/>
              </w:rPr>
              <w:t>Attempt</w:t>
            </w:r>
          </w:p>
        </w:tc>
        <w:tc>
          <w:tcPr>
            <w:tcW w:type="dxa" w:w="8064"/>
            <w:vAlign w:val="center"/>
          </w:tcPr>
          <w:p>
            <w:pPr>
              <w:spacing w:after="20"/>
            </w:pPr>
            <w:r/>
            <w:r>
              <w:rPr>
                <w:b w:val="0"/>
                <w:sz w:val="17"/>
              </w:rPr>
              <w:t>A student's recorded participation in an assessment or learning activity.</w:t>
            </w:r>
          </w:p>
        </w:tc>
      </w:tr>
      <w:tr>
        <w:tc>
          <w:tcPr>
            <w:tcW w:type="dxa" w:w="2304"/>
            <w:vAlign w:val="center"/>
          </w:tcPr>
          <w:p>
            <w:pPr>
              <w:spacing w:after="20"/>
            </w:pPr>
            <w:r/>
            <w:r>
              <w:rPr>
                <w:b w:val="0"/>
                <w:sz w:val="17"/>
              </w:rPr>
              <w:t>Mastery evidence</w:t>
            </w:r>
          </w:p>
        </w:tc>
        <w:tc>
          <w:tcPr>
            <w:tcW w:type="dxa" w:w="8064"/>
            <w:vAlign w:val="center"/>
          </w:tcPr>
          <w:p>
            <w:pPr>
              <w:spacing w:after="20"/>
            </w:pPr>
            <w:r/>
            <w:r>
              <w:rPr>
                <w:b w:val="0"/>
                <w:sz w:val="17"/>
              </w:rPr>
              <w:t>Observed answers, test outcomes, and explanation responses used to estimate understanding.</w:t>
            </w:r>
          </w:p>
        </w:tc>
      </w:tr>
      <w:tr>
        <w:tc>
          <w:tcPr>
            <w:tcW w:type="dxa" w:w="2304"/>
            <w:vAlign w:val="center"/>
          </w:tcPr>
          <w:p>
            <w:pPr>
              <w:spacing w:after="20"/>
            </w:pPr>
            <w:r/>
            <w:r>
              <w:rPr>
                <w:b w:val="0"/>
                <w:sz w:val="17"/>
              </w:rPr>
              <w:t>Adaptive rule</w:t>
            </w:r>
          </w:p>
        </w:tc>
        <w:tc>
          <w:tcPr>
            <w:tcW w:type="dxa" w:w="8064"/>
            <w:vAlign w:val="center"/>
          </w:tcPr>
          <w:p>
            <w:pPr>
              <w:spacing w:after="20"/>
            </w:pPr>
            <w:r/>
            <w:r>
              <w:rPr>
                <w:b w:val="0"/>
                <w:sz w:val="17"/>
              </w:rPr>
              <w:t>A clear, deterministic rule that selects a next activity from available evidence.</w:t>
            </w:r>
          </w:p>
        </w:tc>
      </w:tr>
      <w:tr>
        <w:tc>
          <w:tcPr>
            <w:tcW w:type="dxa" w:w="2304"/>
            <w:vAlign w:val="center"/>
          </w:tcPr>
          <w:p>
            <w:pPr>
              <w:spacing w:after="20"/>
            </w:pPr>
            <w:r/>
            <w:r>
              <w:rPr>
                <w:b w:val="0"/>
                <w:sz w:val="17"/>
              </w:rPr>
              <w:t>Code runner</w:t>
            </w:r>
          </w:p>
        </w:tc>
        <w:tc>
          <w:tcPr>
            <w:tcW w:type="dxa" w:w="8064"/>
            <w:vAlign w:val="center"/>
          </w:tcPr>
          <w:p>
            <w:pPr>
              <w:spacing w:after="20"/>
            </w:pPr>
            <w:r/>
            <w:r>
              <w:rPr>
                <w:b w:val="0"/>
                <w:sz w:val="17"/>
              </w:rPr>
              <w:t>A separate isolated environment that executes student-submitted code.</w:t>
            </w:r>
          </w:p>
        </w:tc>
      </w:tr>
      <w:tr>
        <w:tc>
          <w:tcPr>
            <w:tcW w:type="dxa" w:w="2304"/>
            <w:vAlign w:val="center"/>
          </w:tcPr>
          <w:p>
            <w:pPr>
              <w:spacing w:after="20"/>
            </w:pPr>
            <w:r/>
            <w:r>
              <w:rPr>
                <w:b w:val="0"/>
                <w:sz w:val="17"/>
              </w:rPr>
              <w:t>Teacher-approved content</w:t>
            </w:r>
          </w:p>
        </w:tc>
        <w:tc>
          <w:tcPr>
            <w:tcW w:type="dxa" w:w="8064"/>
            <w:vAlign w:val="center"/>
          </w:tcPr>
          <w:p>
            <w:pPr>
              <w:spacing w:after="20"/>
            </w:pPr>
            <w:r/>
            <w:r>
              <w:rPr>
                <w:b w:val="0"/>
                <w:sz w:val="17"/>
              </w:rPr>
              <w:t>Questions and learning material reviewed and approved for student use.</w:t>
            </w:r>
          </w:p>
        </w:tc>
      </w:tr>
    </w:tbl>
    <w:p/>
    <w:p>
      <w:pPr>
        <w:pStyle w:val="Heading1"/>
      </w:pPr>
      <w:r>
        <w:t>2. Product Scope and Boundaries</w:t>
      </w:r>
    </w:p>
    <w:p>
      <w:pPr>
        <w:pStyle w:val="Heading2"/>
      </w:pPr>
      <w:r>
        <w:t>2.1 In scope</w:t>
      </w:r>
    </w:p>
    <w:p>
      <w:pPr>
        <w:pStyle w:val="ListBullet"/>
        <w:spacing w:after="40"/>
      </w:pPr>
      <w:r>
        <w:t>One college/course context and one prepared Python learning module.</w:t>
      </w:r>
    </w:p>
    <w:p>
      <w:pPr>
        <w:pStyle w:val="ListBullet"/>
        <w:spacing w:after="40"/>
      </w:pPr>
      <w:r>
        <w:t>Student and teacher experiences in the same web application.</w:t>
      </w:r>
    </w:p>
    <w:p>
      <w:pPr>
        <w:pStyle w:val="ListBullet"/>
        <w:spacing w:after="40"/>
      </w:pPr>
      <w:r>
        <w:t>A small, predefined concept set and teacher-approved questions.</w:t>
      </w:r>
    </w:p>
    <w:p>
      <w:pPr>
        <w:pStyle w:val="ListBullet"/>
        <w:spacing w:after="40"/>
      </w:pPr>
      <w:r>
        <w:t>Diagnostic assessment and one coding task.</w:t>
      </w:r>
    </w:p>
    <w:p>
      <w:pPr>
        <w:pStyle w:val="ListBullet"/>
        <w:spacing w:after="40"/>
      </w:pPr>
      <w:r>
        <w:t>Automated evaluation of coding submissions against predefined tests.</w:t>
      </w:r>
    </w:p>
    <w:p>
      <w:pPr>
        <w:pStyle w:val="ListBullet"/>
        <w:spacing w:after="40"/>
      </w:pPr>
      <w:r>
        <w:t>Two short explanation questions after the coding task.</w:t>
      </w:r>
    </w:p>
    <w:p>
      <w:pPr>
        <w:pStyle w:val="ListBullet"/>
        <w:spacing w:after="40"/>
      </w:pPr>
      <w:r>
        <w:t>Persistence of attempts and results in PostgreSQL.</w:t>
      </w:r>
    </w:p>
    <w:p>
      <w:pPr>
        <w:pStyle w:val="ListBullet"/>
        <w:spacing w:after="40"/>
      </w:pPr>
      <w:r>
        <w:t>A simple, explainable recommendation for remediation or the next question.</w:t>
      </w:r>
    </w:p>
    <w:p>
      <w:pPr>
        <w:pStyle w:val="ListBullet"/>
        <w:spacing w:after="40"/>
      </w:pPr>
      <w:r>
        <w:t>A teacher view of student results and the recommendation.</w:t>
      </w:r>
    </w:p>
    <w:p>
      <w:pPr>
        <w:pStyle w:val="ListBullet"/>
        <w:spacing w:after="40"/>
      </w:pPr>
      <w:r>
        <w:t>Basic access control, input validation, error handling, and testing.</w:t>
      </w:r>
    </w:p>
    <w:p>
      <w:pPr>
        <w:pStyle w:val="Heading2"/>
      </w:pPr>
      <w:r>
        <w:t>2.2 Out of scope for the MVP</w:t>
      </w:r>
    </w:p>
    <w:p>
      <w:pPr>
        <w:pStyle w:val="ListBullet"/>
        <w:spacing w:after="40"/>
      </w:pPr>
      <w:r>
        <w:t>Neo4j, Qdrant, vector embeddings, retrieval-augmented generation (RAG), and a semantic search pipeline.</w:t>
      </w:r>
    </w:p>
    <w:p>
      <w:pPr>
        <w:pStyle w:val="ListBullet"/>
        <w:spacing w:after="40"/>
      </w:pPr>
      <w:r>
        <w:t>Automated PDF ingestion, OCR, and automatic syllabus or concept extraction.</w:t>
      </w:r>
    </w:p>
    <w:p>
      <w:pPr>
        <w:pStyle w:val="ListBullet"/>
        <w:spacing w:after="40"/>
      </w:pPr>
      <w:r>
        <w:t>Automatic generation and publication of assessment questions by an LLM.</w:t>
      </w:r>
    </w:p>
    <w:p>
      <w:pPr>
        <w:pStyle w:val="ListBullet"/>
        <w:spacing w:after="40"/>
      </w:pPr>
      <w:r>
        <w:t>Bayesian Knowledge Tracing, deep knowledge tracing, or other advanced learner models.</w:t>
      </w:r>
    </w:p>
    <w:p>
      <w:pPr>
        <w:pStyle w:val="ListBullet"/>
        <w:spacing w:after="40"/>
      </w:pPr>
      <w:r>
        <w:t>Multiple colleges, complex tenant administration, or enterprise SSO.</w:t>
      </w:r>
    </w:p>
    <w:p>
      <w:pPr>
        <w:pStyle w:val="ListBullet"/>
        <w:spacing w:after="40"/>
      </w:pPr>
      <w:r>
        <w:t>Microservices, Redis, event buses, and background worker infrastructure unless a demonstrated need arises.</w:t>
      </w:r>
    </w:p>
    <w:p>
      <w:pPr>
        <w:pStyle w:val="ListBullet"/>
        <w:spacing w:after="40"/>
      </w:pPr>
      <w:r>
        <w:t>Advanced integrity forensics, replayable event timelines, or automatic cheating decisions.</w:t>
      </w:r>
    </w:p>
    <w:p>
      <w:pPr>
        <w:pStyle w:val="ListBullet"/>
        <w:spacing w:after="40"/>
      </w:pPr>
      <w:r>
        <w:t>Advanced analytics, complex mastery visualizations, gamification, and mobile applications.</w:t>
      </w:r>
    </w:p>
    <w:p>
      <w:pPr>
        <w:pStyle w:val="ListBullet"/>
        <w:spacing w:after="40"/>
      </w:pPr>
      <w:r>
        <w:t>A production-scale deployment or claim of production readiness.</w:t>
      </w:r>
    </w:p>
    <w:p>
      <w:pPr>
        <w:pStyle w:val="Heading2"/>
      </w:pPr>
      <w:r>
        <w:t>2.3 MVP success criteria</w:t>
      </w:r>
    </w:p>
    <w:p>
      <w:pPr>
        <w:pStyle w:val="ListBullet"/>
        <w:spacing w:after="40"/>
      </w:pPr>
      <w:r>
        <w:t>A student can complete the full learning journey without manual database intervention.</w:t>
      </w:r>
    </w:p>
    <w:p>
      <w:pPr>
        <w:pStyle w:val="ListBullet"/>
        <w:spacing w:after="40"/>
      </w:pPr>
      <w:r>
        <w:t>Assessment answers, code execution results, and explanation responses are saved and retrievable.</w:t>
      </w:r>
    </w:p>
    <w:p>
      <w:pPr>
        <w:pStyle w:val="ListBullet"/>
        <w:spacing w:after="40"/>
      </w:pPr>
      <w:r>
        <w:t>The system produces a next-step recommendation based on documented rules and recorded evidence.</w:t>
      </w:r>
    </w:p>
    <w:p>
      <w:pPr>
        <w:pStyle w:val="ListBullet"/>
        <w:spacing w:after="40"/>
      </w:pPr>
      <w:r>
        <w:t>Two students with materially different evidence can receive different recommendations when the configured rules indicate different needs.</w:t>
      </w:r>
    </w:p>
    <w:p>
      <w:pPr>
        <w:pStyle w:val="ListBullet"/>
        <w:spacing w:after="40"/>
      </w:pPr>
      <w:r>
        <w:t>A teacher can inspect the relevant results and understand why a recommendation was made.</w:t>
      </w:r>
    </w:p>
    <w:p>
      <w:pPr>
        <w:pStyle w:val="ListBullet"/>
        <w:spacing w:after="40"/>
      </w:pPr>
      <w:r>
        <w:t>Student-submitted code is executed outside the API process in a restricted environment.</w:t>
      </w:r>
    </w:p>
    <w:p>
      <w:pPr>
        <w:pStyle w:val="Heading1"/>
      </w:pPr>
      <w:r>
        <w:t>3. Users and Operating Environment</w:t>
      </w:r>
    </w:p>
    <w:p>
      <w:pPr>
        <w:pStyle w:val="Heading2"/>
      </w:pPr>
      <w:r>
        <w:t>3.1 User roles</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CFE2F3"/>
          </w:tcPr>
          <w:p>
            <w:pPr>
              <w:spacing w:after="20"/>
            </w:pPr>
            <w:r/>
            <w:r>
              <w:rPr>
                <w:b/>
                <w:sz w:val="17"/>
              </w:rPr>
              <w:t>Role</w:t>
            </w:r>
          </w:p>
        </w:tc>
        <w:tc>
          <w:tcPr>
            <w:tcW w:type="dxa" w:w="3024"/>
            <w:vAlign w:val="center"/>
            <w:shd w:fill="CFE2F3"/>
          </w:tcPr>
          <w:p>
            <w:pPr>
              <w:spacing w:after="20"/>
            </w:pPr>
            <w:r/>
            <w:r>
              <w:rPr>
                <w:b/>
                <w:sz w:val="17"/>
              </w:rPr>
              <w:t>Goals</w:t>
            </w:r>
          </w:p>
        </w:tc>
        <w:tc>
          <w:tcPr>
            <w:tcW w:type="dxa" w:w="5616"/>
            <w:vAlign w:val="center"/>
            <w:shd w:fill="CFE2F3"/>
          </w:tcPr>
          <w:p>
            <w:pPr>
              <w:spacing w:after="20"/>
            </w:pPr>
            <w:r/>
            <w:r>
              <w:rPr>
                <w:b/>
                <w:sz w:val="17"/>
              </w:rPr>
              <w:t>Permitted MVP capabilities</w:t>
            </w:r>
          </w:p>
        </w:tc>
      </w:tr>
      <w:tr>
        <w:tc>
          <w:tcPr>
            <w:tcW w:type="dxa" w:w="1728"/>
            <w:vAlign w:val="center"/>
          </w:tcPr>
          <w:p>
            <w:pPr>
              <w:spacing w:after="20"/>
            </w:pPr>
            <w:r/>
            <w:r>
              <w:rPr>
                <w:b w:val="0"/>
                <w:sz w:val="17"/>
              </w:rPr>
              <w:t>Student</w:t>
            </w:r>
          </w:p>
        </w:tc>
        <w:tc>
          <w:tcPr>
            <w:tcW w:type="dxa" w:w="3024"/>
            <w:vAlign w:val="center"/>
          </w:tcPr>
          <w:p>
            <w:pPr>
              <w:spacing w:after="20"/>
            </w:pPr>
            <w:r/>
            <w:r>
              <w:rPr>
                <w:b w:val="0"/>
                <w:sz w:val="17"/>
              </w:rPr>
              <w:t>Practice Python and understand what to work on next.</w:t>
            </w:r>
          </w:p>
        </w:tc>
        <w:tc>
          <w:tcPr>
            <w:tcW w:type="dxa" w:w="5616"/>
            <w:vAlign w:val="center"/>
          </w:tcPr>
          <w:p>
            <w:pPr>
              <w:spacing w:after="20"/>
            </w:pPr>
            <w:r/>
            <w:r>
              <w:rPr>
                <w:b w:val="0"/>
                <w:sz w:val="17"/>
              </w:rPr>
              <w:t>Open assigned module; answer diagnostic questions; submit code; answer explanation questions; view own feedback and results.</w:t>
            </w:r>
          </w:p>
        </w:tc>
      </w:tr>
      <w:tr>
        <w:tc>
          <w:tcPr>
            <w:tcW w:type="dxa" w:w="1728"/>
            <w:vAlign w:val="center"/>
          </w:tcPr>
          <w:p>
            <w:pPr>
              <w:spacing w:after="20"/>
            </w:pPr>
            <w:r/>
            <w:r>
              <w:rPr>
                <w:b w:val="0"/>
                <w:sz w:val="17"/>
              </w:rPr>
              <w:t>Teacher</w:t>
            </w:r>
          </w:p>
        </w:tc>
        <w:tc>
          <w:tcPr>
            <w:tcW w:type="dxa" w:w="3024"/>
            <w:vAlign w:val="center"/>
          </w:tcPr>
          <w:p>
            <w:pPr>
              <w:spacing w:after="20"/>
            </w:pPr>
            <w:r/>
            <w:r>
              <w:rPr>
                <w:b w:val="0"/>
                <w:sz w:val="17"/>
              </w:rPr>
              <w:t>Review student performance and guide learning.</w:t>
            </w:r>
          </w:p>
        </w:tc>
        <w:tc>
          <w:tcPr>
            <w:tcW w:type="dxa" w:w="5616"/>
            <w:vAlign w:val="center"/>
          </w:tcPr>
          <w:p>
            <w:pPr>
              <w:spacing w:after="20"/>
            </w:pPr>
            <w:r/>
            <w:r>
              <w:rPr>
                <w:b w:val="0"/>
                <w:sz w:val="17"/>
              </w:rPr>
              <w:t>View relevant student attempts and results; inspect concept-level evidence; review the recommended next step.</w:t>
            </w:r>
          </w:p>
        </w:tc>
      </w:tr>
      <w:tr>
        <w:tc>
          <w:tcPr>
            <w:tcW w:type="dxa" w:w="1728"/>
            <w:vAlign w:val="center"/>
          </w:tcPr>
          <w:p>
            <w:pPr>
              <w:spacing w:after="20"/>
            </w:pPr>
            <w:r/>
            <w:r>
              <w:rPr>
                <w:b w:val="0"/>
                <w:sz w:val="17"/>
              </w:rPr>
              <w:t>System operator (limited)</w:t>
            </w:r>
          </w:p>
        </w:tc>
        <w:tc>
          <w:tcPr>
            <w:tcW w:type="dxa" w:w="3024"/>
            <w:vAlign w:val="center"/>
          </w:tcPr>
          <w:p>
            <w:pPr>
              <w:spacing w:after="20"/>
            </w:pPr>
            <w:r/>
            <w:r>
              <w:rPr>
                <w:b w:val="0"/>
                <w:sz w:val="17"/>
              </w:rPr>
              <w:t>Run and maintain the application.</w:t>
            </w:r>
          </w:p>
        </w:tc>
        <w:tc>
          <w:tcPr>
            <w:tcW w:type="dxa" w:w="5616"/>
            <w:vAlign w:val="center"/>
          </w:tcPr>
          <w:p>
            <w:pPr>
              <w:spacing w:after="20"/>
            </w:pPr>
            <w:r/>
            <w:r>
              <w:rPr>
                <w:b w:val="0"/>
                <w:sz w:val="17"/>
              </w:rPr>
              <w:t>Configure deployment and environment; inspect operational logs. No separate admin console is required for the MVP.</w:t>
            </w:r>
          </w:p>
        </w:tc>
      </w:tr>
    </w:tbl>
    <w:p/>
    <w:p>
      <w:pPr>
        <w:pStyle w:val="Heading2"/>
      </w:pPr>
      <w:r>
        <w:t>3.2 Operating environment</w:t>
      </w:r>
    </w:p>
    <w:p>
      <w:pPr>
        <w:pStyle w:val="ListBullet"/>
        <w:spacing w:after="40"/>
      </w:pPr>
      <w:r>
        <w:t>Browser-based web application for current desktop browsers.</w:t>
      </w:r>
    </w:p>
    <w:p>
      <w:pPr>
        <w:pStyle w:val="ListBullet"/>
        <w:spacing w:after="40"/>
      </w:pPr>
      <w:r>
        <w:t>React + TypeScript frontend built with Vite.</w:t>
      </w:r>
    </w:p>
    <w:p>
      <w:pPr>
        <w:pStyle w:val="ListBullet"/>
        <w:spacing w:after="40"/>
      </w:pPr>
      <w:r>
        <w:t>FastAPI backend implemented in Python.</w:t>
      </w:r>
    </w:p>
    <w:p>
      <w:pPr>
        <w:pStyle w:val="ListBullet"/>
        <w:spacing w:after="40"/>
      </w:pPr>
      <w:r>
        <w:t>PostgreSQL relational database.</w:t>
      </w:r>
    </w:p>
    <w:p>
      <w:pPr>
        <w:pStyle w:val="ListBullet"/>
        <w:spacing w:after="40"/>
      </w:pPr>
      <w:r>
        <w:t>A separate code execution service or sandbox for Python submissions.</w:t>
      </w:r>
    </w:p>
    <w:p>
      <w:pPr>
        <w:pStyle w:val="ListBullet"/>
        <w:spacing w:after="40"/>
      </w:pPr>
      <w:r>
        <w:t>Environment-based configuration for database and external service settings.</w:t>
      </w:r>
    </w:p>
    <w:p>
      <w:pPr>
        <w:pStyle w:val="Heading2"/>
      </w:pPr>
      <w:r>
        <w:t>3.3 Assumptions and dependencies</w:t>
      </w:r>
    </w:p>
    <w:p>
      <w:pPr>
        <w:pStyle w:val="ListBullet"/>
        <w:spacing w:after="40"/>
      </w:pPr>
      <w:r>
        <w:t>The MVP begins with prepared learning content rather than arbitrary uploaded documents.</w:t>
      </w:r>
    </w:p>
    <w:p>
      <w:pPr>
        <w:pStyle w:val="ListBullet"/>
        <w:spacing w:after="40"/>
      </w:pPr>
      <w:r>
        <w:t>A teacher or project owner supplies and reviews the initial questions, expected answers, concept associations, and coding tests.</w:t>
      </w:r>
    </w:p>
    <w:p>
      <w:pPr>
        <w:pStyle w:val="ListBullet"/>
        <w:spacing w:after="40"/>
      </w:pPr>
      <w:r>
        <w:t>A safe code-execution option is available and can be integrated. If it is not available, arbitrary code execution must not be enabled; a constrained demonstration alternative should be used.</w:t>
      </w:r>
    </w:p>
    <w:p>
      <w:pPr>
        <w:pStyle w:val="ListBullet"/>
        <w:spacing w:after="40"/>
      </w:pPr>
      <w:r>
        <w:t>PostgreSQL is reachable from the backend environment.</w:t>
      </w:r>
    </w:p>
    <w:p>
      <w:pPr>
        <w:pStyle w:val="ListBullet"/>
        <w:spacing w:after="40"/>
      </w:pPr>
      <w:r>
        <w:t>The MVP can use a simple authentication approach suitable for the demo, but protected student and teacher data must not rely on frontend-only role checks.</w:t>
      </w:r>
    </w:p>
    <w:p>
      <w:pPr>
        <w:pStyle w:val="ListBullet"/>
        <w:spacing w:after="40"/>
      </w:pPr>
      <w:r>
        <w:t>No AI provider is required for the core assessment and adaptation loop.</w:t>
      </w:r>
    </w:p>
    <w:p>
      <w:pPr>
        <w:pStyle w:val="Heading1"/>
      </w:pPr>
      <w:r>
        <w:t>4. High-Level System Architecture</w:t>
      </w:r>
    </w:p>
    <w:p>
      <w:r>
        <w:t>The MVP uses a simple three-part architecture: a browser frontend, one FastAPI backend application, and PostgreSQL. The backend coordinates assessment rules and calls a separate code runner. The code runner is a security boundary, not a module that executes untrusted code inside the web API process.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CFE2F3"/>
          </w:tcPr>
          <w:p>
            <w:pPr>
              <w:spacing w:after="20"/>
            </w:pPr>
            <w:r/>
            <w:r>
              <w:rPr>
                <w:b/>
                <w:sz w:val="17"/>
              </w:rPr>
              <w:t>Component</w:t>
            </w:r>
          </w:p>
        </w:tc>
        <w:tc>
          <w:tcPr>
            <w:tcW w:type="dxa" w:w="4464"/>
            <w:vAlign w:val="center"/>
            <w:shd w:fill="CFE2F3"/>
          </w:tcPr>
          <w:p>
            <w:pPr>
              <w:spacing w:after="20"/>
            </w:pPr>
            <w:r/>
            <w:r>
              <w:rPr>
                <w:b/>
                <w:sz w:val="17"/>
              </w:rPr>
              <w:t>Responsibilities</w:t>
            </w:r>
          </w:p>
        </w:tc>
        <w:tc>
          <w:tcPr>
            <w:tcW w:type="dxa" w:w="3960"/>
            <w:vAlign w:val="center"/>
            <w:shd w:fill="CFE2F3"/>
          </w:tcPr>
          <w:p>
            <w:pPr>
              <w:spacing w:after="20"/>
            </w:pPr>
            <w:r/>
            <w:r>
              <w:rPr>
                <w:b/>
                <w:sz w:val="17"/>
              </w:rPr>
              <w:t>Not responsible for</w:t>
            </w:r>
          </w:p>
        </w:tc>
      </w:tr>
      <w:tr>
        <w:tc>
          <w:tcPr>
            <w:tcW w:type="dxa" w:w="1944"/>
            <w:vAlign w:val="center"/>
          </w:tcPr>
          <w:p>
            <w:pPr>
              <w:spacing w:after="20"/>
            </w:pPr>
            <w:r/>
            <w:r>
              <w:rPr>
                <w:b w:val="0"/>
                <w:sz w:val="17"/>
              </w:rPr>
              <w:t>React web app</w:t>
            </w:r>
          </w:p>
        </w:tc>
        <w:tc>
          <w:tcPr>
            <w:tcW w:type="dxa" w:w="4464"/>
            <w:vAlign w:val="center"/>
          </w:tcPr>
          <w:p>
            <w:pPr>
              <w:spacing w:after="20"/>
            </w:pPr>
            <w:r/>
            <w:r>
              <w:rPr>
                <w:b w:val="0"/>
                <w:sz w:val="17"/>
              </w:rPr>
              <w:t>Display student and teacher screens; collect answers and code; call backend APIs; show returned results.</w:t>
            </w:r>
          </w:p>
        </w:tc>
        <w:tc>
          <w:tcPr>
            <w:tcW w:type="dxa" w:w="3960"/>
            <w:vAlign w:val="center"/>
          </w:tcPr>
          <w:p>
            <w:pPr>
              <w:spacing w:after="20"/>
            </w:pPr>
            <w:r/>
            <w:r>
              <w:rPr>
                <w:b w:val="0"/>
                <w:sz w:val="17"/>
              </w:rPr>
              <w:t>Authoritative scoring, authorization decisions, database access, or executing code.</w:t>
            </w:r>
          </w:p>
        </w:tc>
      </w:tr>
      <w:tr>
        <w:tc>
          <w:tcPr>
            <w:tcW w:type="dxa" w:w="1944"/>
            <w:vAlign w:val="center"/>
          </w:tcPr>
          <w:p>
            <w:pPr>
              <w:spacing w:after="20"/>
            </w:pPr>
            <w:r/>
            <w:r>
              <w:rPr>
                <w:b w:val="0"/>
                <w:sz w:val="17"/>
              </w:rPr>
              <w:t>FastAPI backend</w:t>
            </w:r>
          </w:p>
        </w:tc>
        <w:tc>
          <w:tcPr>
            <w:tcW w:type="dxa" w:w="4464"/>
            <w:vAlign w:val="center"/>
          </w:tcPr>
          <w:p>
            <w:pPr>
              <w:spacing w:after="20"/>
            </w:pPr>
            <w:r/>
            <w:r>
              <w:rPr>
                <w:b w:val="0"/>
                <w:sz w:val="17"/>
              </w:rPr>
              <w:t>Validate requests; enforce authorization; load approved content; manage assessment state; calculate results and recommendations; persist records.</w:t>
            </w:r>
          </w:p>
        </w:tc>
        <w:tc>
          <w:tcPr>
            <w:tcW w:type="dxa" w:w="3960"/>
            <w:vAlign w:val="center"/>
          </w:tcPr>
          <w:p>
            <w:pPr>
              <w:spacing w:after="20"/>
            </w:pPr>
            <w:r/>
            <w:r>
              <w:rPr>
                <w:b w:val="0"/>
                <w:sz w:val="17"/>
              </w:rPr>
              <w:t>Directly executing arbitrary student code or trusting client-submitted scores.</w:t>
            </w:r>
          </w:p>
        </w:tc>
      </w:tr>
      <w:tr>
        <w:tc>
          <w:tcPr>
            <w:tcW w:type="dxa" w:w="1944"/>
            <w:vAlign w:val="center"/>
          </w:tcPr>
          <w:p>
            <w:pPr>
              <w:spacing w:after="20"/>
            </w:pPr>
            <w:r/>
            <w:r>
              <w:rPr>
                <w:b w:val="0"/>
                <w:sz w:val="17"/>
              </w:rPr>
              <w:t>PostgreSQL</w:t>
            </w:r>
          </w:p>
        </w:tc>
        <w:tc>
          <w:tcPr>
            <w:tcW w:type="dxa" w:w="4464"/>
            <w:vAlign w:val="center"/>
          </w:tcPr>
          <w:p>
            <w:pPr>
              <w:spacing w:after="20"/>
            </w:pPr>
            <w:r/>
            <w:r>
              <w:rPr>
                <w:b w:val="0"/>
                <w:sz w:val="17"/>
              </w:rPr>
              <w:t>Store users/roles, concepts, questions, assessments, submissions, results, explanation responses, and recommendation evidence.</w:t>
            </w:r>
          </w:p>
        </w:tc>
        <w:tc>
          <w:tcPr>
            <w:tcW w:type="dxa" w:w="3960"/>
            <w:vAlign w:val="center"/>
          </w:tcPr>
          <w:p>
            <w:pPr>
              <w:spacing w:after="20"/>
            </w:pPr>
            <w:r/>
            <w:r>
              <w:rPr>
                <w:b w:val="0"/>
                <w:sz w:val="17"/>
              </w:rPr>
              <w:t>Vector search or graph-database functionality in the MVP.</w:t>
            </w:r>
          </w:p>
        </w:tc>
      </w:tr>
      <w:tr>
        <w:tc>
          <w:tcPr>
            <w:tcW w:type="dxa" w:w="1944"/>
            <w:vAlign w:val="center"/>
          </w:tcPr>
          <w:p>
            <w:pPr>
              <w:spacing w:after="20"/>
            </w:pPr>
            <w:r/>
            <w:r>
              <w:rPr>
                <w:b w:val="0"/>
                <w:sz w:val="17"/>
              </w:rPr>
              <w:t>Isolated Python runner</w:t>
            </w:r>
          </w:p>
        </w:tc>
        <w:tc>
          <w:tcPr>
            <w:tcW w:type="dxa" w:w="4464"/>
            <w:vAlign w:val="center"/>
          </w:tcPr>
          <w:p>
            <w:pPr>
              <w:spacing w:after="20"/>
            </w:pPr>
            <w:r/>
            <w:r>
              <w:rPr>
                <w:b w:val="0"/>
                <w:sz w:val="17"/>
              </w:rPr>
              <w:t>Run submitted Python code against server-controlled tests under time/resource limits; return structured execution status.</w:t>
            </w:r>
          </w:p>
        </w:tc>
        <w:tc>
          <w:tcPr>
            <w:tcW w:type="dxa" w:w="3960"/>
            <w:vAlign w:val="center"/>
          </w:tcPr>
          <w:p>
            <w:pPr>
              <w:spacing w:after="20"/>
            </w:pPr>
            <w:r/>
            <w:r>
              <w:rPr>
                <w:b w:val="0"/>
                <w:sz w:val="17"/>
              </w:rPr>
              <w:t>Accessing application secrets, exposing hidden tests, or deciding the student's learning path.</w:t>
            </w:r>
          </w:p>
        </w:tc>
      </w:tr>
      <w:tr>
        <w:tc>
          <w:tcPr>
            <w:tcW w:type="dxa" w:w="1944"/>
            <w:vAlign w:val="center"/>
          </w:tcPr>
          <w:p>
            <w:pPr>
              <w:spacing w:after="20"/>
            </w:pPr>
            <w:r/>
            <w:r>
              <w:rPr>
                <w:b w:val="0"/>
                <w:sz w:val="17"/>
              </w:rPr>
              <w:t>Optional LLM provider</w:t>
            </w:r>
          </w:p>
        </w:tc>
        <w:tc>
          <w:tcPr>
            <w:tcW w:type="dxa" w:w="4464"/>
            <w:vAlign w:val="center"/>
          </w:tcPr>
          <w:p>
            <w:pPr>
              <w:spacing w:after="20"/>
            </w:pPr>
            <w:r/>
            <w:r>
              <w:rPr>
                <w:b w:val="0"/>
                <w:sz w:val="17"/>
              </w:rPr>
              <w:t>Not required for the MVP's core loop; may be considered later for a narrowly defined feature.</w:t>
            </w:r>
          </w:p>
        </w:tc>
        <w:tc>
          <w:tcPr>
            <w:tcW w:type="dxa" w:w="3960"/>
            <w:vAlign w:val="center"/>
          </w:tcPr>
          <w:p>
            <w:pPr>
              <w:spacing w:after="20"/>
            </w:pPr>
            <w:r/>
            <w:r>
              <w:rPr>
                <w:b w:val="0"/>
                <w:sz w:val="17"/>
              </w:rPr>
              <w:t>Automatic publication of questions or unreviewed high-impact decisions.</w:t>
            </w:r>
          </w:p>
        </w:tc>
      </w:tr>
    </w:tbl>
    <w:p/>
    <w:p>
      <w:pPr>
        <w:pStyle w:val="Heading2"/>
      </w:pPr>
      <w:r>
        <w:t>4.1 Architecture flow</w:t>
      </w:r>
    </w:p>
    <w:p>
      <w:r>
        <w:t>Student/Teacher → React Web App → FastAPI → PostgreSQL</w:t>
      </w:r>
    </w:p>
    <w:p>
      <w:r>
        <w:t>FastAPI → Isolated Python Runner → FastAPI → PostgreSQL → React Web App</w:t>
      </w:r>
    </w:p>
    <w:p>
      <w:r>
        <w:t>The backend is the trusted coordinator. The frontend never connects directly to PostgreSQL or the code runner. The code runner receives only the submission and the minimum execution configuration needed for the task.</w:t>
      </w:r>
    </w:p>
    <w:p>
      <w:pPr>
        <w:pStyle w:val="Heading2"/>
      </w:pPr>
      <w:r>
        <w:t>4.2 Data ownership</w:t>
      </w:r>
    </w:p>
    <w:p>
      <w:pPr>
        <w:pStyle w:val="ListBullet"/>
        <w:spacing w:after="40"/>
      </w:pPr>
      <w:r>
        <w:t>PostgreSQL is the authoritative source for application records and assessment outcomes.</w:t>
      </w:r>
    </w:p>
    <w:p>
      <w:pPr>
        <w:pStyle w:val="ListBullet"/>
        <w:spacing w:after="40"/>
      </w:pPr>
      <w:r>
        <w:t>The backend is authoritative for scoring and recommendation decisions.</w:t>
      </w:r>
    </w:p>
    <w:p>
      <w:pPr>
        <w:pStyle w:val="ListBullet"/>
        <w:spacing w:after="40"/>
      </w:pPr>
      <w:r>
        <w:t>The code runner is authoritative only for the execution result it returns; the backend validates and records that result.</w:t>
      </w:r>
    </w:p>
    <w:p>
      <w:pPr>
        <w:pStyle w:val="ListBullet"/>
        <w:spacing w:after="40"/>
      </w:pPr>
      <w:r>
        <w:t>The frontend displays results but is not an authority for score, role, mastery, or access permission.</w:t>
      </w:r>
    </w:p>
    <w:p>
      <w:pPr>
        <w:pStyle w:val="Heading1"/>
      </w:pPr>
      <w:r>
        <w:t>5. Functional Requirements</w:t>
      </w:r>
    </w:p>
    <w:p>
      <w:r>
        <w:t>Requirement IDs are stable references for implementation and testing. Priority: P0 = essential for MVP; P1 = desirable if time permits.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792"/>
            <w:vAlign w:val="center"/>
            <w:shd w:fill="CFE2F3"/>
          </w:tcPr>
          <w:p>
            <w:pPr>
              <w:spacing w:after="20"/>
            </w:pPr>
            <w:r/>
            <w:r>
              <w:rPr>
                <w:b/>
                <w:sz w:val="17"/>
              </w:rPr>
              <w:t>ID</w:t>
            </w:r>
          </w:p>
        </w:tc>
        <w:tc>
          <w:tcPr>
            <w:tcW w:type="dxa" w:w="792"/>
            <w:vAlign w:val="center"/>
            <w:shd w:fill="CFE2F3"/>
          </w:tcPr>
          <w:p>
            <w:pPr>
              <w:spacing w:after="20"/>
            </w:pPr>
            <w:r/>
            <w:r>
              <w:rPr>
                <w:b/>
                <w:sz w:val="17"/>
              </w:rPr>
              <w:t>Priority</w:t>
            </w:r>
          </w:p>
        </w:tc>
        <w:tc>
          <w:tcPr>
            <w:tcW w:type="dxa" w:w="1656"/>
            <w:vAlign w:val="center"/>
            <w:shd w:fill="CFE2F3"/>
          </w:tcPr>
          <w:p>
            <w:pPr>
              <w:spacing w:after="20"/>
            </w:pPr>
            <w:r/>
            <w:r>
              <w:rPr>
                <w:b/>
                <w:sz w:val="17"/>
              </w:rPr>
              <w:t>Requirement</w:t>
            </w:r>
          </w:p>
        </w:tc>
        <w:tc>
          <w:tcPr>
            <w:tcW w:type="dxa" w:w="4320"/>
            <w:vAlign w:val="center"/>
            <w:shd w:fill="CFE2F3"/>
          </w:tcPr>
          <w:p>
            <w:pPr>
              <w:spacing w:after="20"/>
            </w:pPr>
            <w:r/>
            <w:r>
              <w:rPr>
                <w:b/>
                <w:sz w:val="17"/>
              </w:rPr>
              <w:t>Description</w:t>
            </w:r>
          </w:p>
        </w:tc>
        <w:tc>
          <w:tcPr>
            <w:tcW w:type="dxa" w:w="2808"/>
            <w:vAlign w:val="center"/>
            <w:shd w:fill="CFE2F3"/>
          </w:tcPr>
          <w:p>
            <w:pPr>
              <w:spacing w:after="20"/>
            </w:pPr>
            <w:r/>
            <w:r>
              <w:rPr>
                <w:b/>
                <w:sz w:val="17"/>
              </w:rPr>
              <w:t>Acceptance condition</w:t>
            </w:r>
          </w:p>
        </w:tc>
      </w:tr>
      <w:tr>
        <w:tc>
          <w:tcPr>
            <w:tcW w:type="dxa" w:w="792"/>
            <w:vAlign w:val="center"/>
          </w:tcPr>
          <w:p>
            <w:pPr>
              <w:spacing w:after="20"/>
            </w:pPr>
            <w:r/>
            <w:r>
              <w:rPr>
                <w:b w:val="0"/>
                <w:sz w:val="17"/>
              </w:rPr>
              <w:t>FR-001</w:t>
            </w:r>
          </w:p>
        </w:tc>
        <w:tc>
          <w:tcPr>
            <w:tcW w:type="dxa" w:w="792"/>
            <w:vAlign w:val="center"/>
          </w:tcPr>
          <w:p>
            <w:pPr>
              <w:spacing w:after="20"/>
            </w:pPr>
            <w:r/>
            <w:r>
              <w:rPr>
                <w:b w:val="0"/>
                <w:sz w:val="17"/>
              </w:rPr>
              <w:t>P0</w:t>
            </w:r>
          </w:p>
        </w:tc>
        <w:tc>
          <w:tcPr>
            <w:tcW w:type="dxa" w:w="1656"/>
            <w:vAlign w:val="center"/>
          </w:tcPr>
          <w:p>
            <w:pPr>
              <w:spacing w:after="20"/>
            </w:pPr>
            <w:r/>
            <w:r>
              <w:rPr>
                <w:b w:val="0"/>
                <w:sz w:val="17"/>
              </w:rPr>
              <w:t>Open the learning module</w:t>
            </w:r>
          </w:p>
        </w:tc>
        <w:tc>
          <w:tcPr>
            <w:tcW w:type="dxa" w:w="4320"/>
            <w:vAlign w:val="center"/>
          </w:tcPr>
          <w:p>
            <w:pPr>
              <w:spacing w:after="20"/>
            </w:pPr>
            <w:r/>
            <w:r>
              <w:rPr>
                <w:b w:val="0"/>
                <w:sz w:val="17"/>
              </w:rPr>
              <w:t>The system shall display the configured Python module and its approved concepts, instructions, and available activities to an authorized student.</w:t>
            </w:r>
          </w:p>
        </w:tc>
        <w:tc>
          <w:tcPr>
            <w:tcW w:type="dxa" w:w="2808"/>
            <w:vAlign w:val="center"/>
          </w:tcPr>
          <w:p>
            <w:pPr>
              <w:spacing w:after="20"/>
            </w:pPr>
            <w:r/>
            <w:r>
              <w:rPr>
                <w:b w:val="0"/>
                <w:sz w:val="17"/>
              </w:rPr>
              <w:t>Module content is visible and corresponds to the configured module.</w:t>
            </w:r>
          </w:p>
        </w:tc>
      </w:tr>
      <w:tr>
        <w:tc>
          <w:tcPr>
            <w:tcW w:type="dxa" w:w="792"/>
            <w:vAlign w:val="center"/>
          </w:tcPr>
          <w:p>
            <w:pPr>
              <w:spacing w:after="20"/>
            </w:pPr>
            <w:r/>
            <w:r>
              <w:rPr>
                <w:b w:val="0"/>
                <w:sz w:val="17"/>
              </w:rPr>
              <w:t>FR-002</w:t>
            </w:r>
          </w:p>
        </w:tc>
        <w:tc>
          <w:tcPr>
            <w:tcW w:type="dxa" w:w="792"/>
            <w:vAlign w:val="center"/>
          </w:tcPr>
          <w:p>
            <w:pPr>
              <w:spacing w:after="20"/>
            </w:pPr>
            <w:r/>
            <w:r>
              <w:rPr>
                <w:b w:val="0"/>
                <w:sz w:val="17"/>
              </w:rPr>
              <w:t>P0</w:t>
            </w:r>
          </w:p>
        </w:tc>
        <w:tc>
          <w:tcPr>
            <w:tcW w:type="dxa" w:w="1656"/>
            <w:vAlign w:val="center"/>
          </w:tcPr>
          <w:p>
            <w:pPr>
              <w:spacing w:after="20"/>
            </w:pPr>
            <w:r/>
            <w:r>
              <w:rPr>
                <w:b w:val="0"/>
                <w:sz w:val="17"/>
              </w:rPr>
              <w:t>Present diagnostic questions</w:t>
            </w:r>
          </w:p>
        </w:tc>
        <w:tc>
          <w:tcPr>
            <w:tcW w:type="dxa" w:w="4320"/>
            <w:vAlign w:val="center"/>
          </w:tcPr>
          <w:p>
            <w:pPr>
              <w:spacing w:after="20"/>
            </w:pPr>
            <w:r/>
            <w:r>
              <w:rPr>
                <w:b w:val="0"/>
                <w:sz w:val="17"/>
              </w:rPr>
              <w:t>The system shall present a predefined set of diagnostic questions associated with one or more concepts.</w:t>
            </w:r>
          </w:p>
        </w:tc>
        <w:tc>
          <w:tcPr>
            <w:tcW w:type="dxa" w:w="2808"/>
            <w:vAlign w:val="center"/>
          </w:tcPr>
          <w:p>
            <w:pPr>
              <w:spacing w:after="20"/>
            </w:pPr>
            <w:r/>
            <w:r>
              <w:rPr>
                <w:b w:val="0"/>
                <w:sz w:val="17"/>
              </w:rPr>
              <w:t>A student can start and submit a diagnostic; questions and answer choices are loaded from approved records.</w:t>
            </w:r>
          </w:p>
        </w:tc>
      </w:tr>
      <w:tr>
        <w:tc>
          <w:tcPr>
            <w:tcW w:type="dxa" w:w="792"/>
            <w:vAlign w:val="center"/>
          </w:tcPr>
          <w:p>
            <w:pPr>
              <w:spacing w:after="20"/>
            </w:pPr>
            <w:r/>
            <w:r>
              <w:rPr>
                <w:b w:val="0"/>
                <w:sz w:val="17"/>
              </w:rPr>
              <w:t>FR-003</w:t>
            </w:r>
          </w:p>
        </w:tc>
        <w:tc>
          <w:tcPr>
            <w:tcW w:type="dxa" w:w="792"/>
            <w:vAlign w:val="center"/>
          </w:tcPr>
          <w:p>
            <w:pPr>
              <w:spacing w:after="20"/>
            </w:pPr>
            <w:r/>
            <w:r>
              <w:rPr>
                <w:b w:val="0"/>
                <w:sz w:val="17"/>
              </w:rPr>
              <w:t>P0</w:t>
            </w:r>
          </w:p>
        </w:tc>
        <w:tc>
          <w:tcPr>
            <w:tcW w:type="dxa" w:w="1656"/>
            <w:vAlign w:val="center"/>
          </w:tcPr>
          <w:p>
            <w:pPr>
              <w:spacing w:after="20"/>
            </w:pPr>
            <w:r/>
            <w:r>
              <w:rPr>
                <w:b w:val="0"/>
                <w:sz w:val="17"/>
              </w:rPr>
              <w:t>Record diagnostic responses</w:t>
            </w:r>
          </w:p>
        </w:tc>
        <w:tc>
          <w:tcPr>
            <w:tcW w:type="dxa" w:w="4320"/>
            <w:vAlign w:val="center"/>
          </w:tcPr>
          <w:p>
            <w:pPr>
              <w:spacing w:after="20"/>
            </w:pPr>
            <w:r/>
            <w:r>
              <w:rPr>
                <w:b w:val="0"/>
                <w:sz w:val="17"/>
              </w:rPr>
              <w:t>The system shall validate and persist each student's submitted diagnostic response and its assessment context.</w:t>
            </w:r>
          </w:p>
        </w:tc>
        <w:tc>
          <w:tcPr>
            <w:tcW w:type="dxa" w:w="2808"/>
            <w:vAlign w:val="center"/>
          </w:tcPr>
          <w:p>
            <w:pPr>
              <w:spacing w:after="20"/>
            </w:pPr>
            <w:r/>
            <w:r>
              <w:rPr>
                <w:b w:val="0"/>
                <w:sz w:val="17"/>
              </w:rPr>
              <w:t>Saved responses can be retrieved for the correct student and attempt.</w:t>
            </w:r>
          </w:p>
        </w:tc>
      </w:tr>
      <w:tr>
        <w:tc>
          <w:tcPr>
            <w:tcW w:type="dxa" w:w="792"/>
            <w:vAlign w:val="center"/>
          </w:tcPr>
          <w:p>
            <w:pPr>
              <w:spacing w:after="20"/>
            </w:pPr>
            <w:r/>
            <w:r>
              <w:rPr>
                <w:b w:val="0"/>
                <w:sz w:val="17"/>
              </w:rPr>
              <w:t>FR-004</w:t>
            </w:r>
          </w:p>
        </w:tc>
        <w:tc>
          <w:tcPr>
            <w:tcW w:type="dxa" w:w="792"/>
            <w:vAlign w:val="center"/>
          </w:tcPr>
          <w:p>
            <w:pPr>
              <w:spacing w:after="20"/>
            </w:pPr>
            <w:r/>
            <w:r>
              <w:rPr>
                <w:b w:val="0"/>
                <w:sz w:val="17"/>
              </w:rPr>
              <w:t>P0</w:t>
            </w:r>
          </w:p>
        </w:tc>
        <w:tc>
          <w:tcPr>
            <w:tcW w:type="dxa" w:w="1656"/>
            <w:vAlign w:val="center"/>
          </w:tcPr>
          <w:p>
            <w:pPr>
              <w:spacing w:after="20"/>
            </w:pPr>
            <w:r/>
            <w:r>
              <w:rPr>
                <w:b w:val="0"/>
                <w:sz w:val="17"/>
              </w:rPr>
              <w:t>Present a coding task</w:t>
            </w:r>
          </w:p>
        </w:tc>
        <w:tc>
          <w:tcPr>
            <w:tcW w:type="dxa" w:w="4320"/>
            <w:vAlign w:val="center"/>
          </w:tcPr>
          <w:p>
            <w:pPr>
              <w:spacing w:after="20"/>
            </w:pPr>
            <w:r/>
            <w:r>
              <w:rPr>
                <w:b w:val="0"/>
                <w:sz w:val="17"/>
              </w:rPr>
              <w:t>The system shall present a Python programming problem with instructions and an editor for code submission.</w:t>
            </w:r>
          </w:p>
        </w:tc>
        <w:tc>
          <w:tcPr>
            <w:tcW w:type="dxa" w:w="2808"/>
            <w:vAlign w:val="center"/>
          </w:tcPr>
          <w:p>
            <w:pPr>
              <w:spacing w:after="20"/>
            </w:pPr>
            <w:r/>
            <w:r>
              <w:rPr>
                <w:b w:val="0"/>
                <w:sz w:val="17"/>
              </w:rPr>
              <w:t>The task statement is visible and the student can submit a code attempt.</w:t>
            </w:r>
          </w:p>
        </w:tc>
      </w:tr>
      <w:tr>
        <w:tc>
          <w:tcPr>
            <w:tcW w:type="dxa" w:w="792"/>
            <w:vAlign w:val="center"/>
          </w:tcPr>
          <w:p>
            <w:pPr>
              <w:spacing w:after="20"/>
            </w:pPr>
            <w:r/>
            <w:r>
              <w:rPr>
                <w:b w:val="0"/>
                <w:sz w:val="17"/>
              </w:rPr>
              <w:t>FR-005</w:t>
            </w:r>
          </w:p>
        </w:tc>
        <w:tc>
          <w:tcPr>
            <w:tcW w:type="dxa" w:w="792"/>
            <w:vAlign w:val="center"/>
          </w:tcPr>
          <w:p>
            <w:pPr>
              <w:spacing w:after="20"/>
            </w:pPr>
            <w:r/>
            <w:r>
              <w:rPr>
                <w:b w:val="0"/>
                <w:sz w:val="17"/>
              </w:rPr>
              <w:t>P0</w:t>
            </w:r>
          </w:p>
        </w:tc>
        <w:tc>
          <w:tcPr>
            <w:tcW w:type="dxa" w:w="1656"/>
            <w:vAlign w:val="center"/>
          </w:tcPr>
          <w:p>
            <w:pPr>
              <w:spacing w:after="20"/>
            </w:pPr>
            <w:r/>
            <w:r>
              <w:rPr>
                <w:b w:val="0"/>
                <w:sz w:val="17"/>
              </w:rPr>
              <w:t>Execute code safely</w:t>
            </w:r>
          </w:p>
        </w:tc>
        <w:tc>
          <w:tcPr>
            <w:tcW w:type="dxa" w:w="4320"/>
            <w:vAlign w:val="center"/>
          </w:tcPr>
          <w:p>
            <w:pPr>
              <w:spacing w:after="20"/>
            </w:pPr>
            <w:r/>
            <w:r>
              <w:rPr>
                <w:b w:val="0"/>
                <w:sz w:val="17"/>
              </w:rPr>
              <w:t>The system shall send code submissions to an isolated Python execution environment, not execute them in the FastAPI process.</w:t>
            </w:r>
          </w:p>
        </w:tc>
        <w:tc>
          <w:tcPr>
            <w:tcW w:type="dxa" w:w="2808"/>
            <w:vAlign w:val="center"/>
          </w:tcPr>
          <w:p>
            <w:pPr>
              <w:spacing w:after="20"/>
            </w:pPr>
            <w:r/>
            <w:r>
              <w:rPr>
                <w:b w:val="0"/>
                <w:sz w:val="17"/>
              </w:rPr>
              <w:t>The runner returns a structured result and enforces configured time/resource limits.</w:t>
            </w:r>
          </w:p>
        </w:tc>
      </w:tr>
      <w:tr>
        <w:tc>
          <w:tcPr>
            <w:tcW w:type="dxa" w:w="792"/>
            <w:vAlign w:val="center"/>
          </w:tcPr>
          <w:p>
            <w:pPr>
              <w:spacing w:after="20"/>
            </w:pPr>
            <w:r/>
            <w:r>
              <w:rPr>
                <w:b w:val="0"/>
                <w:sz w:val="17"/>
              </w:rPr>
              <w:t>FR-006</w:t>
            </w:r>
          </w:p>
        </w:tc>
        <w:tc>
          <w:tcPr>
            <w:tcW w:type="dxa" w:w="792"/>
            <w:vAlign w:val="center"/>
          </w:tcPr>
          <w:p>
            <w:pPr>
              <w:spacing w:after="20"/>
            </w:pPr>
            <w:r/>
            <w:r>
              <w:rPr>
                <w:b w:val="0"/>
                <w:sz w:val="17"/>
              </w:rPr>
              <w:t>P0</w:t>
            </w:r>
          </w:p>
        </w:tc>
        <w:tc>
          <w:tcPr>
            <w:tcW w:type="dxa" w:w="1656"/>
            <w:vAlign w:val="center"/>
          </w:tcPr>
          <w:p>
            <w:pPr>
              <w:spacing w:after="20"/>
            </w:pPr>
            <w:r/>
            <w:r>
              <w:rPr>
                <w:b w:val="0"/>
                <w:sz w:val="17"/>
              </w:rPr>
              <w:t>Evaluate code submission</w:t>
            </w:r>
          </w:p>
        </w:tc>
        <w:tc>
          <w:tcPr>
            <w:tcW w:type="dxa" w:w="4320"/>
            <w:vAlign w:val="center"/>
          </w:tcPr>
          <w:p>
            <w:pPr>
              <w:spacing w:after="20"/>
            </w:pPr>
            <w:r/>
            <w:r>
              <w:rPr>
                <w:b w:val="0"/>
                <w:sz w:val="17"/>
              </w:rPr>
              <w:t>The system shall evaluate a submission against server-controlled tests and record pass/fail and execution status.</w:t>
            </w:r>
          </w:p>
        </w:tc>
        <w:tc>
          <w:tcPr>
            <w:tcW w:type="dxa" w:w="2808"/>
            <w:vAlign w:val="center"/>
          </w:tcPr>
          <w:p>
            <w:pPr>
              <w:spacing w:after="20"/>
            </w:pPr>
            <w:r/>
            <w:r>
              <w:rPr>
                <w:b w:val="0"/>
                <w:sz w:val="17"/>
              </w:rPr>
              <w:t>Client cannot supply or modify the authoritative test result.</w:t>
            </w:r>
          </w:p>
        </w:tc>
      </w:tr>
      <w:tr>
        <w:tc>
          <w:tcPr>
            <w:tcW w:type="dxa" w:w="792"/>
            <w:vAlign w:val="center"/>
          </w:tcPr>
          <w:p>
            <w:pPr>
              <w:spacing w:after="20"/>
            </w:pPr>
            <w:r/>
            <w:r>
              <w:rPr>
                <w:b w:val="0"/>
                <w:sz w:val="17"/>
              </w:rPr>
              <w:t>FR-007</w:t>
            </w:r>
          </w:p>
        </w:tc>
        <w:tc>
          <w:tcPr>
            <w:tcW w:type="dxa" w:w="792"/>
            <w:vAlign w:val="center"/>
          </w:tcPr>
          <w:p>
            <w:pPr>
              <w:spacing w:after="20"/>
            </w:pPr>
            <w:r/>
            <w:r>
              <w:rPr>
                <w:b w:val="0"/>
                <w:sz w:val="17"/>
              </w:rPr>
              <w:t>P0</w:t>
            </w:r>
          </w:p>
        </w:tc>
        <w:tc>
          <w:tcPr>
            <w:tcW w:type="dxa" w:w="1656"/>
            <w:vAlign w:val="center"/>
          </w:tcPr>
          <w:p>
            <w:pPr>
              <w:spacing w:after="20"/>
            </w:pPr>
            <w:r/>
            <w:r>
              <w:rPr>
                <w:b w:val="0"/>
                <w:sz w:val="17"/>
              </w:rPr>
              <w:t>Handle execution failures</w:t>
            </w:r>
          </w:p>
        </w:tc>
        <w:tc>
          <w:tcPr>
            <w:tcW w:type="dxa" w:w="4320"/>
            <w:vAlign w:val="center"/>
          </w:tcPr>
          <w:p>
            <w:pPr>
              <w:spacing w:after="20"/>
            </w:pPr>
            <w:r/>
            <w:r>
              <w:rPr>
                <w:b w:val="0"/>
                <w:sz w:val="17"/>
              </w:rPr>
              <w:t>The system shall distinguish an incorrect solution from syntax/runtime errors, timeout, resource-limit violation, and runner/infrastructure failure.</w:t>
            </w:r>
          </w:p>
        </w:tc>
        <w:tc>
          <w:tcPr>
            <w:tcW w:type="dxa" w:w="2808"/>
            <w:vAlign w:val="center"/>
          </w:tcPr>
          <w:p>
            <w:pPr>
              <w:spacing w:after="20"/>
            </w:pPr>
            <w:r/>
            <w:r>
              <w:rPr>
                <w:b w:val="0"/>
                <w:sz w:val="17"/>
              </w:rPr>
              <w:t>A runner outage is not recorded as an ordinary incorrect answer.</w:t>
            </w:r>
          </w:p>
        </w:tc>
      </w:tr>
      <w:tr>
        <w:tc>
          <w:tcPr>
            <w:tcW w:type="dxa" w:w="792"/>
            <w:vAlign w:val="center"/>
          </w:tcPr>
          <w:p>
            <w:pPr>
              <w:spacing w:after="20"/>
            </w:pPr>
            <w:r/>
            <w:r>
              <w:rPr>
                <w:b w:val="0"/>
                <w:sz w:val="17"/>
              </w:rPr>
              <w:t>FR-008</w:t>
            </w:r>
          </w:p>
        </w:tc>
        <w:tc>
          <w:tcPr>
            <w:tcW w:type="dxa" w:w="792"/>
            <w:vAlign w:val="center"/>
          </w:tcPr>
          <w:p>
            <w:pPr>
              <w:spacing w:after="20"/>
            </w:pPr>
            <w:r/>
            <w:r>
              <w:rPr>
                <w:b w:val="0"/>
                <w:sz w:val="17"/>
              </w:rPr>
              <w:t>P0</w:t>
            </w:r>
          </w:p>
        </w:tc>
        <w:tc>
          <w:tcPr>
            <w:tcW w:type="dxa" w:w="1656"/>
            <w:vAlign w:val="center"/>
          </w:tcPr>
          <w:p>
            <w:pPr>
              <w:spacing w:after="20"/>
            </w:pPr>
            <w:r/>
            <w:r>
              <w:rPr>
                <w:b w:val="0"/>
                <w:sz w:val="17"/>
              </w:rPr>
              <w:t>Ask explanation questions</w:t>
            </w:r>
          </w:p>
        </w:tc>
        <w:tc>
          <w:tcPr>
            <w:tcW w:type="dxa" w:w="4320"/>
            <w:vAlign w:val="center"/>
          </w:tcPr>
          <w:p>
            <w:pPr>
              <w:spacing w:after="20"/>
            </w:pPr>
            <w:r/>
            <w:r>
              <w:rPr>
                <w:b w:val="0"/>
                <w:sz w:val="17"/>
              </w:rPr>
              <w:t>After the coding task, the system shall present two configured questions asking the student to explain their solution or reasoning.</w:t>
            </w:r>
          </w:p>
        </w:tc>
        <w:tc>
          <w:tcPr>
            <w:tcW w:type="dxa" w:w="2808"/>
            <w:vAlign w:val="center"/>
          </w:tcPr>
          <w:p>
            <w:pPr>
              <w:spacing w:after="20"/>
            </w:pPr>
            <w:r/>
            <w:r>
              <w:rPr>
                <w:b w:val="0"/>
                <w:sz w:val="17"/>
              </w:rPr>
              <w:t>Both responses can be submitted and associated with the relevant attempt.</w:t>
            </w:r>
          </w:p>
        </w:tc>
      </w:tr>
      <w:tr>
        <w:tc>
          <w:tcPr>
            <w:tcW w:type="dxa" w:w="792"/>
            <w:vAlign w:val="center"/>
          </w:tcPr>
          <w:p>
            <w:pPr>
              <w:spacing w:after="20"/>
            </w:pPr>
            <w:r/>
            <w:r>
              <w:rPr>
                <w:b w:val="0"/>
                <w:sz w:val="17"/>
              </w:rPr>
              <w:t>FR-009</w:t>
            </w:r>
          </w:p>
        </w:tc>
        <w:tc>
          <w:tcPr>
            <w:tcW w:type="dxa" w:w="792"/>
            <w:vAlign w:val="center"/>
          </w:tcPr>
          <w:p>
            <w:pPr>
              <w:spacing w:after="20"/>
            </w:pPr>
            <w:r/>
            <w:r>
              <w:rPr>
                <w:b w:val="0"/>
                <w:sz w:val="17"/>
              </w:rPr>
              <w:t>P0</w:t>
            </w:r>
          </w:p>
        </w:tc>
        <w:tc>
          <w:tcPr>
            <w:tcW w:type="dxa" w:w="1656"/>
            <w:vAlign w:val="center"/>
          </w:tcPr>
          <w:p>
            <w:pPr>
              <w:spacing w:after="20"/>
            </w:pPr>
            <w:r/>
            <w:r>
              <w:rPr>
                <w:b w:val="0"/>
                <w:sz w:val="17"/>
              </w:rPr>
              <w:t>Persist the assessment record</w:t>
            </w:r>
          </w:p>
        </w:tc>
        <w:tc>
          <w:tcPr>
            <w:tcW w:type="dxa" w:w="4320"/>
            <w:vAlign w:val="center"/>
          </w:tcPr>
          <w:p>
            <w:pPr>
              <w:spacing w:after="20"/>
            </w:pPr>
            <w:r/>
            <w:r>
              <w:rPr>
                <w:b w:val="0"/>
                <w:sz w:val="17"/>
              </w:rPr>
              <w:t>The system shall persist diagnostic responses, code submission metadata, execution result, explanation responses, timestamps, and assessment status.</w:t>
            </w:r>
          </w:p>
        </w:tc>
        <w:tc>
          <w:tcPr>
            <w:tcW w:type="dxa" w:w="2808"/>
            <w:vAlign w:val="center"/>
          </w:tcPr>
          <w:p>
            <w:pPr>
              <w:spacing w:after="20"/>
            </w:pPr>
            <w:r/>
            <w:r>
              <w:rPr>
                <w:b w:val="0"/>
                <w:sz w:val="17"/>
              </w:rPr>
              <w:t>The record can be loaded later and is associated with the correct student and assessment.</w:t>
            </w:r>
          </w:p>
        </w:tc>
      </w:tr>
      <w:tr>
        <w:tc>
          <w:tcPr>
            <w:tcW w:type="dxa" w:w="792"/>
            <w:vAlign w:val="center"/>
          </w:tcPr>
          <w:p>
            <w:pPr>
              <w:spacing w:after="20"/>
            </w:pPr>
            <w:r/>
            <w:r>
              <w:rPr>
                <w:b w:val="0"/>
                <w:sz w:val="17"/>
              </w:rPr>
              <w:t>FR-010</w:t>
            </w:r>
          </w:p>
        </w:tc>
        <w:tc>
          <w:tcPr>
            <w:tcW w:type="dxa" w:w="792"/>
            <w:vAlign w:val="center"/>
          </w:tcPr>
          <w:p>
            <w:pPr>
              <w:spacing w:after="20"/>
            </w:pPr>
            <w:r/>
            <w:r>
              <w:rPr>
                <w:b w:val="0"/>
                <w:sz w:val="17"/>
              </w:rPr>
              <w:t>P0</w:t>
            </w:r>
          </w:p>
        </w:tc>
        <w:tc>
          <w:tcPr>
            <w:tcW w:type="dxa" w:w="1656"/>
            <w:vAlign w:val="center"/>
          </w:tcPr>
          <w:p>
            <w:pPr>
              <w:spacing w:after="20"/>
            </w:pPr>
            <w:r/>
            <w:r>
              <w:rPr>
                <w:b w:val="0"/>
                <w:sz w:val="17"/>
              </w:rPr>
              <w:t>Estimate a knowledge gap</w:t>
            </w:r>
          </w:p>
        </w:tc>
        <w:tc>
          <w:tcPr>
            <w:tcW w:type="dxa" w:w="4320"/>
            <w:vAlign w:val="center"/>
          </w:tcPr>
          <w:p>
            <w:pPr>
              <w:spacing w:after="20"/>
            </w:pPr>
            <w:r/>
            <w:r>
              <w:rPr>
                <w:b w:val="0"/>
                <w:sz w:val="17"/>
              </w:rPr>
              <w:t>The system shall apply documented, deterministic rules to available evidence to identify a likely concept for remediation or further practice.</w:t>
            </w:r>
          </w:p>
        </w:tc>
        <w:tc>
          <w:tcPr>
            <w:tcW w:type="dxa" w:w="2808"/>
            <w:vAlign w:val="center"/>
          </w:tcPr>
          <w:p>
            <w:pPr>
              <w:spacing w:after="20"/>
            </w:pPr>
            <w:r/>
            <w:r>
              <w:rPr>
                <w:b w:val="0"/>
                <w:sz w:val="17"/>
              </w:rPr>
              <w:t>The identified concept and the evidence/rule that caused it are inspectable.</w:t>
            </w:r>
          </w:p>
        </w:tc>
      </w:tr>
      <w:tr>
        <w:tc>
          <w:tcPr>
            <w:tcW w:type="dxa" w:w="792"/>
            <w:vAlign w:val="center"/>
          </w:tcPr>
          <w:p>
            <w:pPr>
              <w:spacing w:after="20"/>
            </w:pPr>
            <w:r/>
            <w:r>
              <w:rPr>
                <w:b w:val="0"/>
                <w:sz w:val="17"/>
              </w:rPr>
              <w:t>FR-011</w:t>
            </w:r>
          </w:p>
        </w:tc>
        <w:tc>
          <w:tcPr>
            <w:tcW w:type="dxa" w:w="792"/>
            <w:vAlign w:val="center"/>
          </w:tcPr>
          <w:p>
            <w:pPr>
              <w:spacing w:after="20"/>
            </w:pPr>
            <w:r/>
            <w:r>
              <w:rPr>
                <w:b w:val="0"/>
                <w:sz w:val="17"/>
              </w:rPr>
              <w:t>P0</w:t>
            </w:r>
          </w:p>
        </w:tc>
        <w:tc>
          <w:tcPr>
            <w:tcW w:type="dxa" w:w="1656"/>
            <w:vAlign w:val="center"/>
          </w:tcPr>
          <w:p>
            <w:pPr>
              <w:spacing w:after="20"/>
            </w:pPr>
            <w:r/>
            <w:r>
              <w:rPr>
                <w:b w:val="0"/>
                <w:sz w:val="17"/>
              </w:rPr>
              <w:t>Recommend next activity</w:t>
            </w:r>
          </w:p>
        </w:tc>
        <w:tc>
          <w:tcPr>
            <w:tcW w:type="dxa" w:w="4320"/>
            <w:vAlign w:val="center"/>
          </w:tcPr>
          <w:p>
            <w:pPr>
              <w:spacing w:after="20"/>
            </w:pPr>
            <w:r/>
            <w:r>
              <w:rPr>
                <w:b w:val="0"/>
                <w:sz w:val="17"/>
              </w:rPr>
              <w:t>The system shall select an approved remediation item or next question using concept association, configured prerequisites, and assessment evidence.</w:t>
            </w:r>
          </w:p>
        </w:tc>
        <w:tc>
          <w:tcPr>
            <w:tcW w:type="dxa" w:w="2808"/>
            <w:vAlign w:val="center"/>
          </w:tcPr>
          <w:p>
            <w:pPr>
              <w:spacing w:after="20"/>
            </w:pPr>
            <w:r/>
            <w:r>
              <w:rPr>
                <w:b w:val="0"/>
                <w:sz w:val="17"/>
              </w:rPr>
              <w:t>A recommendation references a real approved activity and has a human-readable reason.</w:t>
            </w:r>
          </w:p>
        </w:tc>
      </w:tr>
      <w:tr>
        <w:tc>
          <w:tcPr>
            <w:tcW w:type="dxa" w:w="792"/>
            <w:vAlign w:val="center"/>
          </w:tcPr>
          <w:p>
            <w:pPr>
              <w:spacing w:after="20"/>
            </w:pPr>
            <w:r/>
            <w:r>
              <w:rPr>
                <w:b w:val="0"/>
                <w:sz w:val="17"/>
              </w:rPr>
              <w:t>FR-012</w:t>
            </w:r>
          </w:p>
        </w:tc>
        <w:tc>
          <w:tcPr>
            <w:tcW w:type="dxa" w:w="792"/>
            <w:vAlign w:val="center"/>
          </w:tcPr>
          <w:p>
            <w:pPr>
              <w:spacing w:after="20"/>
            </w:pPr>
            <w:r/>
            <w:r>
              <w:rPr>
                <w:b w:val="0"/>
                <w:sz w:val="17"/>
              </w:rPr>
              <w:t>P0</w:t>
            </w:r>
          </w:p>
        </w:tc>
        <w:tc>
          <w:tcPr>
            <w:tcW w:type="dxa" w:w="1656"/>
            <w:vAlign w:val="center"/>
          </w:tcPr>
          <w:p>
            <w:pPr>
              <w:spacing w:after="20"/>
            </w:pPr>
            <w:r/>
            <w:r>
              <w:rPr>
                <w:b w:val="0"/>
                <w:sz w:val="17"/>
              </w:rPr>
              <w:t>Show student feedback</w:t>
            </w:r>
          </w:p>
        </w:tc>
        <w:tc>
          <w:tcPr>
            <w:tcW w:type="dxa" w:w="4320"/>
            <w:vAlign w:val="center"/>
          </w:tcPr>
          <w:p>
            <w:pPr>
              <w:spacing w:after="20"/>
            </w:pPr>
            <w:r/>
            <w:r>
              <w:rPr>
                <w:b w:val="0"/>
                <w:sz w:val="17"/>
              </w:rPr>
              <w:t>The system shall show assessment outcomes, appropriate feedback, the identified likely gap, and the next recommended activity.</w:t>
            </w:r>
          </w:p>
        </w:tc>
        <w:tc>
          <w:tcPr>
            <w:tcW w:type="dxa" w:w="2808"/>
            <w:vAlign w:val="center"/>
          </w:tcPr>
          <w:p>
            <w:pPr>
              <w:spacing w:after="20"/>
            </w:pPr>
            <w:r/>
            <w:r>
              <w:rPr>
                <w:b w:val="0"/>
                <w:sz w:val="17"/>
              </w:rPr>
              <w:t>The student sees results only for their own attempt.</w:t>
            </w:r>
          </w:p>
        </w:tc>
      </w:tr>
      <w:tr>
        <w:tc>
          <w:tcPr>
            <w:tcW w:type="dxa" w:w="792"/>
            <w:vAlign w:val="center"/>
          </w:tcPr>
          <w:p>
            <w:pPr>
              <w:spacing w:after="20"/>
            </w:pPr>
            <w:r/>
            <w:r>
              <w:rPr>
                <w:b w:val="0"/>
                <w:sz w:val="17"/>
              </w:rPr>
              <w:t>FR-013</w:t>
            </w:r>
          </w:p>
        </w:tc>
        <w:tc>
          <w:tcPr>
            <w:tcW w:type="dxa" w:w="792"/>
            <w:vAlign w:val="center"/>
          </w:tcPr>
          <w:p>
            <w:pPr>
              <w:spacing w:after="20"/>
            </w:pPr>
            <w:r/>
            <w:r>
              <w:rPr>
                <w:b w:val="0"/>
                <w:sz w:val="17"/>
              </w:rPr>
              <w:t>P0</w:t>
            </w:r>
          </w:p>
        </w:tc>
        <w:tc>
          <w:tcPr>
            <w:tcW w:type="dxa" w:w="1656"/>
            <w:vAlign w:val="center"/>
          </w:tcPr>
          <w:p>
            <w:pPr>
              <w:spacing w:after="20"/>
            </w:pPr>
            <w:r/>
            <w:r>
              <w:rPr>
                <w:b w:val="0"/>
                <w:sz w:val="17"/>
              </w:rPr>
              <w:t>Show teacher results</w:t>
            </w:r>
          </w:p>
        </w:tc>
        <w:tc>
          <w:tcPr>
            <w:tcW w:type="dxa" w:w="4320"/>
            <w:vAlign w:val="center"/>
          </w:tcPr>
          <w:p>
            <w:pPr>
              <w:spacing w:after="20"/>
            </w:pPr>
            <w:r/>
            <w:r>
              <w:rPr>
                <w:b w:val="0"/>
                <w:sz w:val="17"/>
              </w:rPr>
              <w:t>The system shall provide a basic teacher view of student attempts, scores/results, explanation responses, likely knowledge gaps, and recommendations.</w:t>
            </w:r>
          </w:p>
        </w:tc>
        <w:tc>
          <w:tcPr>
            <w:tcW w:type="dxa" w:w="2808"/>
            <w:vAlign w:val="center"/>
          </w:tcPr>
          <w:p>
            <w:pPr>
              <w:spacing w:after="20"/>
            </w:pPr>
            <w:r/>
            <w:r>
              <w:rPr>
                <w:b w:val="0"/>
                <w:sz w:val="17"/>
              </w:rPr>
              <w:t>An authorized teacher can inspect the records within their permitted course context.</w:t>
            </w:r>
          </w:p>
        </w:tc>
      </w:tr>
      <w:tr>
        <w:tc>
          <w:tcPr>
            <w:tcW w:type="dxa" w:w="792"/>
            <w:vAlign w:val="center"/>
          </w:tcPr>
          <w:p>
            <w:pPr>
              <w:spacing w:after="20"/>
            </w:pPr>
            <w:r/>
            <w:r>
              <w:rPr>
                <w:b w:val="0"/>
                <w:sz w:val="17"/>
              </w:rPr>
              <w:t>FR-014</w:t>
            </w:r>
          </w:p>
        </w:tc>
        <w:tc>
          <w:tcPr>
            <w:tcW w:type="dxa" w:w="792"/>
            <w:vAlign w:val="center"/>
          </w:tcPr>
          <w:p>
            <w:pPr>
              <w:spacing w:after="20"/>
            </w:pPr>
            <w:r/>
            <w:r>
              <w:rPr>
                <w:b w:val="0"/>
                <w:sz w:val="17"/>
              </w:rPr>
              <w:t>P0</w:t>
            </w:r>
          </w:p>
        </w:tc>
        <w:tc>
          <w:tcPr>
            <w:tcW w:type="dxa" w:w="1656"/>
            <w:vAlign w:val="center"/>
          </w:tcPr>
          <w:p>
            <w:pPr>
              <w:spacing w:after="20"/>
            </w:pPr>
            <w:r/>
            <w:r>
              <w:rPr>
                <w:b w:val="0"/>
                <w:sz w:val="17"/>
              </w:rPr>
              <w:t>Enforce role-based access</w:t>
            </w:r>
          </w:p>
        </w:tc>
        <w:tc>
          <w:tcPr>
            <w:tcW w:type="dxa" w:w="4320"/>
            <w:vAlign w:val="center"/>
          </w:tcPr>
          <w:p>
            <w:pPr>
              <w:spacing w:after="20"/>
            </w:pPr>
            <w:r/>
            <w:r>
              <w:rPr>
                <w:b w:val="0"/>
                <w:sz w:val="17"/>
              </w:rPr>
              <w:t>The system shall distinguish student and teacher permissions on the backend.</w:t>
            </w:r>
          </w:p>
        </w:tc>
        <w:tc>
          <w:tcPr>
            <w:tcW w:type="dxa" w:w="2808"/>
            <w:vAlign w:val="center"/>
          </w:tcPr>
          <w:p>
            <w:pPr>
              <w:spacing w:after="20"/>
            </w:pPr>
            <w:r/>
            <w:r>
              <w:rPr>
                <w:b w:val="0"/>
                <w:sz w:val="17"/>
              </w:rPr>
              <w:t>Unauthorized requests are denied even if manually constructed outside the UI.</w:t>
            </w:r>
          </w:p>
        </w:tc>
      </w:tr>
      <w:tr>
        <w:tc>
          <w:tcPr>
            <w:tcW w:type="dxa" w:w="792"/>
            <w:vAlign w:val="center"/>
          </w:tcPr>
          <w:p>
            <w:pPr>
              <w:spacing w:after="20"/>
            </w:pPr>
            <w:r/>
            <w:r>
              <w:rPr>
                <w:b w:val="0"/>
                <w:sz w:val="17"/>
              </w:rPr>
              <w:t>FR-015</w:t>
            </w:r>
          </w:p>
        </w:tc>
        <w:tc>
          <w:tcPr>
            <w:tcW w:type="dxa" w:w="792"/>
            <w:vAlign w:val="center"/>
          </w:tcPr>
          <w:p>
            <w:pPr>
              <w:spacing w:after="20"/>
            </w:pPr>
            <w:r/>
            <w:r>
              <w:rPr>
                <w:b w:val="0"/>
                <w:sz w:val="17"/>
              </w:rPr>
              <w:t>P0</w:t>
            </w:r>
          </w:p>
        </w:tc>
        <w:tc>
          <w:tcPr>
            <w:tcW w:type="dxa" w:w="1656"/>
            <w:vAlign w:val="center"/>
          </w:tcPr>
          <w:p>
            <w:pPr>
              <w:spacing w:after="20"/>
            </w:pPr>
            <w:r/>
            <w:r>
              <w:rPr>
                <w:b w:val="0"/>
                <w:sz w:val="17"/>
              </w:rPr>
              <w:t>Validate input</w:t>
            </w:r>
          </w:p>
        </w:tc>
        <w:tc>
          <w:tcPr>
            <w:tcW w:type="dxa" w:w="4320"/>
            <w:vAlign w:val="center"/>
          </w:tcPr>
          <w:p>
            <w:pPr>
              <w:spacing w:after="20"/>
            </w:pPr>
            <w:r/>
            <w:r>
              <w:rPr>
                <w:b w:val="0"/>
                <w:sz w:val="17"/>
              </w:rPr>
              <w:t>The system shall validate identifiers, response formats, submission size, and assessment state before processing requests.</w:t>
            </w:r>
          </w:p>
        </w:tc>
        <w:tc>
          <w:tcPr>
            <w:tcW w:type="dxa" w:w="2808"/>
            <w:vAlign w:val="center"/>
          </w:tcPr>
          <w:p>
            <w:pPr>
              <w:spacing w:after="20"/>
            </w:pPr>
            <w:r/>
            <w:r>
              <w:rPr>
                <w:b w:val="0"/>
                <w:sz w:val="17"/>
              </w:rPr>
              <w:t>Invalid or malformed requests receive controlled errors and do not create invalid records.</w:t>
            </w:r>
          </w:p>
        </w:tc>
      </w:tr>
      <w:tr>
        <w:tc>
          <w:tcPr>
            <w:tcW w:type="dxa" w:w="792"/>
            <w:vAlign w:val="center"/>
          </w:tcPr>
          <w:p>
            <w:pPr>
              <w:spacing w:after="20"/>
            </w:pPr>
            <w:r/>
            <w:r>
              <w:rPr>
                <w:b w:val="0"/>
                <w:sz w:val="17"/>
              </w:rPr>
              <w:t>FR-016</w:t>
            </w:r>
          </w:p>
        </w:tc>
        <w:tc>
          <w:tcPr>
            <w:tcW w:type="dxa" w:w="792"/>
            <w:vAlign w:val="center"/>
          </w:tcPr>
          <w:p>
            <w:pPr>
              <w:spacing w:after="20"/>
            </w:pPr>
            <w:r/>
            <w:r>
              <w:rPr>
                <w:b w:val="0"/>
                <w:sz w:val="17"/>
              </w:rPr>
              <w:t>P0</w:t>
            </w:r>
          </w:p>
        </w:tc>
        <w:tc>
          <w:tcPr>
            <w:tcW w:type="dxa" w:w="1656"/>
            <w:vAlign w:val="center"/>
          </w:tcPr>
          <w:p>
            <w:pPr>
              <w:spacing w:after="20"/>
            </w:pPr>
            <w:r/>
            <w:r>
              <w:rPr>
                <w:b w:val="0"/>
                <w:sz w:val="17"/>
              </w:rPr>
              <w:t>Handle duplicate submissions</w:t>
            </w:r>
          </w:p>
        </w:tc>
        <w:tc>
          <w:tcPr>
            <w:tcW w:type="dxa" w:w="4320"/>
            <w:vAlign w:val="center"/>
          </w:tcPr>
          <w:p>
            <w:pPr>
              <w:spacing w:after="20"/>
            </w:pPr>
            <w:r/>
            <w:r>
              <w:rPr>
                <w:b w:val="0"/>
                <w:sz w:val="17"/>
              </w:rPr>
              <w:t>The system shall avoid unintentionally creating duplicate completed records when a client retries a request, using an appropriate submission/attempt identifier or idempotency strategy.</w:t>
            </w:r>
          </w:p>
        </w:tc>
        <w:tc>
          <w:tcPr>
            <w:tcW w:type="dxa" w:w="2808"/>
            <w:vAlign w:val="center"/>
          </w:tcPr>
          <w:p>
            <w:pPr>
              <w:spacing w:after="20"/>
            </w:pPr>
            <w:r/>
            <w:r>
              <w:rPr>
                <w:b w:val="0"/>
                <w:sz w:val="17"/>
              </w:rPr>
              <w:t>A retry does not corrupt the assessment or create conflicting results.</w:t>
            </w:r>
          </w:p>
        </w:tc>
      </w:tr>
      <w:tr>
        <w:tc>
          <w:tcPr>
            <w:tcW w:type="dxa" w:w="792"/>
            <w:vAlign w:val="center"/>
          </w:tcPr>
          <w:p>
            <w:pPr>
              <w:spacing w:after="20"/>
            </w:pPr>
            <w:r/>
            <w:r>
              <w:rPr>
                <w:b w:val="0"/>
                <w:sz w:val="17"/>
              </w:rPr>
              <w:t>FR-017</w:t>
            </w:r>
          </w:p>
        </w:tc>
        <w:tc>
          <w:tcPr>
            <w:tcW w:type="dxa" w:w="792"/>
            <w:vAlign w:val="center"/>
          </w:tcPr>
          <w:p>
            <w:pPr>
              <w:spacing w:after="20"/>
            </w:pPr>
            <w:r/>
            <w:r>
              <w:rPr>
                <w:b w:val="0"/>
                <w:sz w:val="17"/>
              </w:rPr>
              <w:t>P0</w:t>
            </w:r>
          </w:p>
        </w:tc>
        <w:tc>
          <w:tcPr>
            <w:tcW w:type="dxa" w:w="1656"/>
            <w:vAlign w:val="center"/>
          </w:tcPr>
          <w:p>
            <w:pPr>
              <w:spacing w:after="20"/>
            </w:pPr>
            <w:r/>
            <w:r>
              <w:rPr>
                <w:b w:val="0"/>
                <w:sz w:val="17"/>
              </w:rPr>
              <w:t>Expose health status</w:t>
            </w:r>
          </w:p>
        </w:tc>
        <w:tc>
          <w:tcPr>
            <w:tcW w:type="dxa" w:w="4320"/>
            <w:vAlign w:val="center"/>
          </w:tcPr>
          <w:p>
            <w:pPr>
              <w:spacing w:after="20"/>
            </w:pPr>
            <w:r/>
            <w:r>
              <w:rPr>
                <w:b w:val="0"/>
                <w:sz w:val="17"/>
              </w:rPr>
              <w:t>The system shall expose an application health endpoint and a separate database connectivity check for operational verification.</w:t>
            </w:r>
          </w:p>
        </w:tc>
        <w:tc>
          <w:tcPr>
            <w:tcW w:type="dxa" w:w="2808"/>
            <w:vAlign w:val="center"/>
          </w:tcPr>
          <w:p>
            <w:pPr>
              <w:spacing w:after="20"/>
            </w:pPr>
            <w:r/>
            <w:r>
              <w:rPr>
                <w:b w:val="0"/>
                <w:sz w:val="17"/>
              </w:rPr>
              <w:t>Health status does not report database success unless a real query succeeds.</w:t>
            </w:r>
          </w:p>
        </w:tc>
      </w:tr>
      <w:tr>
        <w:tc>
          <w:tcPr>
            <w:tcW w:type="dxa" w:w="792"/>
            <w:vAlign w:val="center"/>
          </w:tcPr>
          <w:p>
            <w:pPr>
              <w:spacing w:after="20"/>
            </w:pPr>
            <w:r/>
            <w:r>
              <w:rPr>
                <w:b w:val="0"/>
                <w:sz w:val="17"/>
              </w:rPr>
              <w:t>FR-018</w:t>
            </w:r>
          </w:p>
        </w:tc>
        <w:tc>
          <w:tcPr>
            <w:tcW w:type="dxa" w:w="792"/>
            <w:vAlign w:val="center"/>
          </w:tcPr>
          <w:p>
            <w:pPr>
              <w:spacing w:after="20"/>
            </w:pPr>
            <w:r/>
            <w:r>
              <w:rPr>
                <w:b w:val="0"/>
                <w:sz w:val="17"/>
              </w:rPr>
              <w:t>P1</w:t>
            </w:r>
          </w:p>
        </w:tc>
        <w:tc>
          <w:tcPr>
            <w:tcW w:type="dxa" w:w="1656"/>
            <w:vAlign w:val="center"/>
          </w:tcPr>
          <w:p>
            <w:pPr>
              <w:spacing w:after="20"/>
            </w:pPr>
            <w:r/>
            <w:r>
              <w:rPr>
                <w:b w:val="0"/>
                <w:sz w:val="17"/>
              </w:rPr>
              <w:t>Allow teacher content maintenance</w:t>
            </w:r>
          </w:p>
        </w:tc>
        <w:tc>
          <w:tcPr>
            <w:tcW w:type="dxa" w:w="4320"/>
            <w:vAlign w:val="center"/>
          </w:tcPr>
          <w:p>
            <w:pPr>
              <w:spacing w:after="20"/>
            </w:pPr>
            <w:r/>
            <w:r>
              <w:rPr>
                <w:b w:val="0"/>
                <w:sz w:val="17"/>
              </w:rPr>
              <w:t>The system may provide a simple way for an authorized teacher/operator to maintain the initial concepts and questions.</w:t>
            </w:r>
          </w:p>
        </w:tc>
        <w:tc>
          <w:tcPr>
            <w:tcW w:type="dxa" w:w="2808"/>
            <w:vAlign w:val="center"/>
          </w:tcPr>
          <w:p>
            <w:pPr>
              <w:spacing w:after="20"/>
            </w:pPr>
            <w:r/>
            <w:r>
              <w:rPr>
                <w:b w:val="0"/>
                <w:sz w:val="17"/>
              </w:rPr>
              <w:t>Only approved, valid content becomes available to students.</w:t>
            </w:r>
          </w:p>
        </w:tc>
      </w:tr>
      <w:tr>
        <w:tc>
          <w:tcPr>
            <w:tcW w:type="dxa" w:w="792"/>
            <w:vAlign w:val="center"/>
          </w:tcPr>
          <w:p>
            <w:pPr>
              <w:spacing w:after="20"/>
            </w:pPr>
            <w:r/>
            <w:r>
              <w:rPr>
                <w:b w:val="0"/>
                <w:sz w:val="17"/>
              </w:rPr>
              <w:t>FR-019</w:t>
            </w:r>
          </w:p>
        </w:tc>
        <w:tc>
          <w:tcPr>
            <w:tcW w:type="dxa" w:w="792"/>
            <w:vAlign w:val="center"/>
          </w:tcPr>
          <w:p>
            <w:pPr>
              <w:spacing w:after="20"/>
            </w:pPr>
            <w:r/>
            <w:r>
              <w:rPr>
                <w:b w:val="0"/>
                <w:sz w:val="17"/>
              </w:rPr>
              <w:t>P1</w:t>
            </w:r>
          </w:p>
        </w:tc>
        <w:tc>
          <w:tcPr>
            <w:tcW w:type="dxa" w:w="1656"/>
            <w:vAlign w:val="center"/>
          </w:tcPr>
          <w:p>
            <w:pPr>
              <w:spacing w:after="20"/>
            </w:pPr>
            <w:r/>
            <w:r>
              <w:rPr>
                <w:b w:val="0"/>
                <w:sz w:val="17"/>
              </w:rPr>
              <w:t>Show recommendation rationale</w:t>
            </w:r>
          </w:p>
        </w:tc>
        <w:tc>
          <w:tcPr>
            <w:tcW w:type="dxa" w:w="4320"/>
            <w:vAlign w:val="center"/>
          </w:tcPr>
          <w:p>
            <w:pPr>
              <w:spacing w:after="20"/>
            </w:pPr>
            <w:r/>
            <w:r>
              <w:rPr>
                <w:b w:val="0"/>
                <w:sz w:val="17"/>
              </w:rPr>
              <w:t>The system may show the specific rules/evidence used to select the next activity in a teacher-friendly explanation.</w:t>
            </w:r>
          </w:p>
        </w:tc>
        <w:tc>
          <w:tcPr>
            <w:tcW w:type="dxa" w:w="2808"/>
            <w:vAlign w:val="center"/>
          </w:tcPr>
          <w:p>
            <w:pPr>
              <w:spacing w:after="20"/>
            </w:pPr>
            <w:r/>
            <w:r>
              <w:rPr>
                <w:b w:val="0"/>
                <w:sz w:val="17"/>
              </w:rPr>
              <w:t>The rationale corresponds to the actual decision logic.</w:t>
            </w:r>
          </w:p>
        </w:tc>
      </w:tr>
      <w:tr>
        <w:tc>
          <w:tcPr>
            <w:tcW w:type="dxa" w:w="792"/>
            <w:vAlign w:val="center"/>
          </w:tcPr>
          <w:p>
            <w:pPr>
              <w:spacing w:after="20"/>
            </w:pPr>
            <w:r/>
            <w:r>
              <w:rPr>
                <w:b w:val="0"/>
                <w:sz w:val="17"/>
              </w:rPr>
              <w:t>FR-020</w:t>
            </w:r>
          </w:p>
        </w:tc>
        <w:tc>
          <w:tcPr>
            <w:tcW w:type="dxa" w:w="792"/>
            <w:vAlign w:val="center"/>
          </w:tcPr>
          <w:p>
            <w:pPr>
              <w:spacing w:after="20"/>
            </w:pPr>
            <w:r/>
            <w:r>
              <w:rPr>
                <w:b w:val="0"/>
                <w:sz w:val="17"/>
              </w:rPr>
              <w:t>P1</w:t>
            </w:r>
          </w:p>
        </w:tc>
        <w:tc>
          <w:tcPr>
            <w:tcW w:type="dxa" w:w="1656"/>
            <w:vAlign w:val="center"/>
          </w:tcPr>
          <w:p>
            <w:pPr>
              <w:spacing w:after="20"/>
            </w:pPr>
            <w:r/>
            <w:r>
              <w:rPr>
                <w:b w:val="0"/>
                <w:sz w:val="17"/>
              </w:rPr>
              <w:t>Resume an incomplete attempt</w:t>
            </w:r>
          </w:p>
        </w:tc>
        <w:tc>
          <w:tcPr>
            <w:tcW w:type="dxa" w:w="4320"/>
            <w:vAlign w:val="center"/>
          </w:tcPr>
          <w:p>
            <w:pPr>
              <w:spacing w:after="20"/>
            </w:pPr>
            <w:r/>
            <w:r>
              <w:rPr>
                <w:b w:val="0"/>
                <w:sz w:val="17"/>
              </w:rPr>
              <w:t>The system may allow a student to resume an in-progress attempt without losing saved responses.</w:t>
            </w:r>
          </w:p>
        </w:tc>
        <w:tc>
          <w:tcPr>
            <w:tcW w:type="dxa" w:w="2808"/>
            <w:vAlign w:val="center"/>
          </w:tcPr>
          <w:p>
            <w:pPr>
              <w:spacing w:after="20"/>
            </w:pPr>
            <w:r/>
            <w:r>
              <w:rPr>
                <w:b w:val="0"/>
                <w:sz w:val="17"/>
              </w:rPr>
              <w:t>The attempt state is restored consistently.</w:t>
            </w:r>
          </w:p>
        </w:tc>
      </w:tr>
    </w:tbl>
    <w:p/>
    <w:p>
      <w:pPr>
        <w:pStyle w:val="Heading1"/>
      </w:pPr>
      <w:r>
        <w:t>6. Adaptive Recommendation Rules</w:t>
      </w:r>
    </w:p>
    <w:p>
      <w:pPr>
        <w:pStyle w:val="Heading2"/>
      </w:pPr>
      <w:r>
        <w:t>6.1 MVP approach</w:t>
      </w:r>
    </w:p>
    <w:p>
      <w:r>
        <w:t>The MVP shall use transparent rules rather than a trained or probabilistic learner model. Each question and coding task is associated with one or more concepts. The rule set evaluates recorded evidence and selects a configured next activity.</w:t>
      </w:r>
    </w:p>
    <w:p>
      <w:pPr>
        <w:pStyle w:val="Heading2"/>
      </w:pPr>
      <w:r>
        <w:t>6.2 Suggested initial rule behavior</w:t>
      </w:r>
    </w:p>
    <w:p>
      <w:pPr>
        <w:pStyle w:val="ListBullet"/>
        <w:spacing w:after="40"/>
      </w:pPr>
      <w:r>
        <w:t>If the student answers a concept question incorrectly, recommend an approved remediation question for that concept when one exists.</w:t>
      </w:r>
    </w:p>
    <w:p>
      <w:pPr>
        <w:pStyle w:val="ListBullet"/>
        <w:spacing w:after="40"/>
      </w:pPr>
      <w:r>
        <w:t>If the student passes the coding tests but gives a weak or incorrect explanation, recommend a conceptual explanation or a follow-up question instead of treating the coding result as complete proof of mastery.</w:t>
      </w:r>
    </w:p>
    <w:p>
      <w:pPr>
        <w:pStyle w:val="ListBullet"/>
        <w:spacing w:after="40"/>
      </w:pPr>
      <w:r>
        <w:t>If the student answers diagnostic questions and explains the solution correctly, recommend the next configured concept or a more challenging approved question.</w:t>
      </w:r>
    </w:p>
    <w:p>
      <w:pPr>
        <w:pStyle w:val="ListBullet"/>
        <w:spacing w:after="40"/>
      </w:pPr>
      <w:r>
        <w:t>If evidence is missing or conflicting, label the result as uncertain and choose a safe review activity rather than claiming the student has mastered or failed a concept.</w:t>
      </w:r>
    </w:p>
    <w:p>
      <w:pPr>
        <w:pStyle w:val="ListBullet"/>
        <w:spacing w:after="40"/>
      </w:pPr>
      <w:r>
        <w:t>If no suitable follow-up item exists, show a neutral completion message and flag that the module needs additional approved content.</w:t>
      </w:r>
    </w:p>
    <w:p>
      <w:pPr>
        <w:pStyle w:val="Heading2"/>
      </w:pPr>
      <w:r>
        <w:t>6.3 Explainability</w:t>
      </w:r>
    </w:p>
    <w:p>
      <w:r>
        <w:t>Every recommendation should store or be able to reconstruct the triggering evidence, rule identifier/version, target concept, and selected activity. The recommendation is guidance for learning, not a high-stakes grade or a definitive psychological or ability assessment.</w:t>
      </w:r>
    </w:p>
    <w:p>
      <w:pPr>
        <w:pStyle w:val="Heading1"/>
      </w:pPr>
      <w:r>
        <w:t>7. Data Requirements</w:t>
      </w:r>
    </w:p>
    <w:p>
      <w:r>
        <w:t>The following are logical data entities, not a finalized physical schema. Exact field types, indexes, constraints, and migration details will be confirmed during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CFE2F3"/>
          </w:tcPr>
          <w:p>
            <w:pPr>
              <w:spacing w:after="20"/>
            </w:pPr>
            <w:r/>
            <w:r>
              <w:rPr>
                <w:b/>
                <w:sz w:val="17"/>
              </w:rPr>
              <w:t>Entity</w:t>
            </w:r>
          </w:p>
        </w:tc>
        <w:tc>
          <w:tcPr>
            <w:tcW w:type="dxa" w:w="3240"/>
            <w:vAlign w:val="center"/>
            <w:shd w:fill="CFE2F3"/>
          </w:tcPr>
          <w:p>
            <w:pPr>
              <w:spacing w:after="20"/>
            </w:pPr>
            <w:r/>
            <w:r>
              <w:rPr>
                <w:b/>
                <w:sz w:val="17"/>
              </w:rPr>
              <w:t>Purpose</w:t>
            </w:r>
          </w:p>
        </w:tc>
        <w:tc>
          <w:tcPr>
            <w:tcW w:type="dxa" w:w="5256"/>
            <w:vAlign w:val="center"/>
            <w:shd w:fill="CFE2F3"/>
          </w:tcPr>
          <w:p>
            <w:pPr>
              <w:spacing w:after="20"/>
            </w:pPr>
            <w:r/>
            <w:r>
              <w:rPr>
                <w:b/>
                <w:sz w:val="17"/>
              </w:rPr>
              <w:t>Minimum logical data</w:t>
            </w:r>
          </w:p>
        </w:tc>
      </w:tr>
      <w:tr>
        <w:tc>
          <w:tcPr>
            <w:tcW w:type="dxa" w:w="1944"/>
            <w:vAlign w:val="center"/>
          </w:tcPr>
          <w:p>
            <w:pPr>
              <w:spacing w:after="20"/>
            </w:pPr>
            <w:r/>
            <w:r>
              <w:rPr>
                <w:b w:val="0"/>
                <w:sz w:val="17"/>
              </w:rPr>
              <w:t>User</w:t>
            </w:r>
          </w:p>
        </w:tc>
        <w:tc>
          <w:tcPr>
            <w:tcW w:type="dxa" w:w="3240"/>
            <w:vAlign w:val="center"/>
          </w:tcPr>
          <w:p>
            <w:pPr>
              <w:spacing w:after="20"/>
            </w:pPr>
            <w:r/>
            <w:r>
              <w:rPr>
                <w:b w:val="0"/>
                <w:sz w:val="17"/>
              </w:rPr>
              <w:t>Represents a student or teacher account.</w:t>
            </w:r>
          </w:p>
        </w:tc>
        <w:tc>
          <w:tcPr>
            <w:tcW w:type="dxa" w:w="5256"/>
            <w:vAlign w:val="center"/>
          </w:tcPr>
          <w:p>
            <w:pPr>
              <w:spacing w:after="20"/>
            </w:pPr>
            <w:r/>
            <w:r>
              <w:rPr>
                <w:b w:val="0"/>
                <w:sz w:val="17"/>
              </w:rPr>
              <w:t>id, display name, login identifier, role, active status, created timestamp</w:t>
            </w:r>
          </w:p>
        </w:tc>
      </w:tr>
      <w:tr>
        <w:tc>
          <w:tcPr>
            <w:tcW w:type="dxa" w:w="1944"/>
            <w:vAlign w:val="center"/>
          </w:tcPr>
          <w:p>
            <w:pPr>
              <w:spacing w:after="20"/>
            </w:pPr>
            <w:r/>
            <w:r>
              <w:rPr>
                <w:b w:val="0"/>
                <w:sz w:val="17"/>
              </w:rPr>
              <w:t>Course/Module</w:t>
            </w:r>
          </w:p>
        </w:tc>
        <w:tc>
          <w:tcPr>
            <w:tcW w:type="dxa" w:w="3240"/>
            <w:vAlign w:val="center"/>
          </w:tcPr>
          <w:p>
            <w:pPr>
              <w:spacing w:after="20"/>
            </w:pPr>
            <w:r/>
            <w:r>
              <w:rPr>
                <w:b w:val="0"/>
                <w:sz w:val="17"/>
              </w:rPr>
              <w:t>Represents the single course or prepared learning module.</w:t>
            </w:r>
          </w:p>
        </w:tc>
        <w:tc>
          <w:tcPr>
            <w:tcW w:type="dxa" w:w="5256"/>
            <w:vAlign w:val="center"/>
          </w:tcPr>
          <w:p>
            <w:pPr>
              <w:spacing w:after="20"/>
            </w:pPr>
            <w:r/>
            <w:r>
              <w:rPr>
                <w:b w:val="0"/>
                <w:sz w:val="17"/>
              </w:rPr>
              <w:t>id, name, description, active status</w:t>
            </w:r>
          </w:p>
        </w:tc>
      </w:tr>
      <w:tr>
        <w:tc>
          <w:tcPr>
            <w:tcW w:type="dxa" w:w="1944"/>
            <w:vAlign w:val="center"/>
          </w:tcPr>
          <w:p>
            <w:pPr>
              <w:spacing w:after="20"/>
            </w:pPr>
            <w:r/>
            <w:r>
              <w:rPr>
                <w:b w:val="0"/>
                <w:sz w:val="17"/>
              </w:rPr>
              <w:t>Concept</w:t>
            </w:r>
          </w:p>
        </w:tc>
        <w:tc>
          <w:tcPr>
            <w:tcW w:type="dxa" w:w="3240"/>
            <w:vAlign w:val="center"/>
          </w:tcPr>
          <w:p>
            <w:pPr>
              <w:spacing w:after="20"/>
            </w:pPr>
            <w:r/>
            <w:r>
              <w:rPr>
                <w:b w:val="0"/>
                <w:sz w:val="17"/>
              </w:rPr>
              <w:t>Represents a learning concept in the module.</w:t>
            </w:r>
          </w:p>
        </w:tc>
        <w:tc>
          <w:tcPr>
            <w:tcW w:type="dxa" w:w="5256"/>
            <w:vAlign w:val="center"/>
          </w:tcPr>
          <w:p>
            <w:pPr>
              <w:spacing w:after="20"/>
            </w:pPr>
            <w:r/>
            <w:r>
              <w:rPr>
                <w:b w:val="0"/>
                <w:sz w:val="17"/>
              </w:rPr>
              <w:t>id, name, description, optional prerequisite concept reference</w:t>
            </w:r>
          </w:p>
        </w:tc>
      </w:tr>
      <w:tr>
        <w:tc>
          <w:tcPr>
            <w:tcW w:type="dxa" w:w="1944"/>
            <w:vAlign w:val="center"/>
          </w:tcPr>
          <w:p>
            <w:pPr>
              <w:spacing w:after="20"/>
            </w:pPr>
            <w:r/>
            <w:r>
              <w:rPr>
                <w:b w:val="0"/>
                <w:sz w:val="17"/>
              </w:rPr>
              <w:t>Question</w:t>
            </w:r>
          </w:p>
        </w:tc>
        <w:tc>
          <w:tcPr>
            <w:tcW w:type="dxa" w:w="3240"/>
            <w:vAlign w:val="center"/>
          </w:tcPr>
          <w:p>
            <w:pPr>
              <w:spacing w:after="20"/>
            </w:pPr>
            <w:r/>
            <w:r>
              <w:rPr>
                <w:b w:val="0"/>
                <w:sz w:val="17"/>
              </w:rPr>
              <w:t>Represents an approved diagnostic, conceptual, or follow-up question.</w:t>
            </w:r>
          </w:p>
        </w:tc>
        <w:tc>
          <w:tcPr>
            <w:tcW w:type="dxa" w:w="5256"/>
            <w:vAlign w:val="center"/>
          </w:tcPr>
          <w:p>
            <w:pPr>
              <w:spacing w:after="20"/>
            </w:pPr>
            <w:r/>
            <w:r>
              <w:rPr>
                <w:b w:val="0"/>
                <w:sz w:val="17"/>
              </w:rPr>
              <w:t>id, concept reference, question text, type, approved status, optional answer key/rubric, difficulty label</w:t>
            </w:r>
          </w:p>
        </w:tc>
      </w:tr>
      <w:tr>
        <w:tc>
          <w:tcPr>
            <w:tcW w:type="dxa" w:w="1944"/>
            <w:vAlign w:val="center"/>
          </w:tcPr>
          <w:p>
            <w:pPr>
              <w:spacing w:after="20"/>
            </w:pPr>
            <w:r/>
            <w:r>
              <w:rPr>
                <w:b w:val="0"/>
                <w:sz w:val="17"/>
              </w:rPr>
              <w:t>CodingTask</w:t>
            </w:r>
          </w:p>
        </w:tc>
        <w:tc>
          <w:tcPr>
            <w:tcW w:type="dxa" w:w="3240"/>
            <w:vAlign w:val="center"/>
          </w:tcPr>
          <w:p>
            <w:pPr>
              <w:spacing w:after="20"/>
            </w:pPr>
            <w:r/>
            <w:r>
              <w:rPr>
                <w:b w:val="0"/>
                <w:sz w:val="17"/>
              </w:rPr>
              <w:t>Represents a Python problem and its configuration.</w:t>
            </w:r>
          </w:p>
        </w:tc>
        <w:tc>
          <w:tcPr>
            <w:tcW w:type="dxa" w:w="5256"/>
            <w:vAlign w:val="center"/>
          </w:tcPr>
          <w:p>
            <w:pPr>
              <w:spacing w:after="20"/>
            </w:pPr>
            <w:r/>
            <w:r>
              <w:rPr>
                <w:b w:val="0"/>
                <w:sz w:val="17"/>
              </w:rPr>
              <w:t>id, concept reference, prompt, starter code (optional), test configuration reference, time/resource limits</w:t>
            </w:r>
          </w:p>
        </w:tc>
      </w:tr>
      <w:tr>
        <w:tc>
          <w:tcPr>
            <w:tcW w:type="dxa" w:w="1944"/>
            <w:vAlign w:val="center"/>
          </w:tcPr>
          <w:p>
            <w:pPr>
              <w:spacing w:after="20"/>
            </w:pPr>
            <w:r/>
            <w:r>
              <w:rPr>
                <w:b w:val="0"/>
                <w:sz w:val="17"/>
              </w:rPr>
              <w:t>AssessmentAttempt</w:t>
            </w:r>
          </w:p>
        </w:tc>
        <w:tc>
          <w:tcPr>
            <w:tcW w:type="dxa" w:w="3240"/>
            <w:vAlign w:val="center"/>
          </w:tcPr>
          <w:p>
            <w:pPr>
              <w:spacing w:after="20"/>
            </w:pPr>
            <w:r/>
            <w:r>
              <w:rPr>
                <w:b w:val="0"/>
                <w:sz w:val="17"/>
              </w:rPr>
              <w:t>Represents one student's assessment session.</w:t>
            </w:r>
          </w:p>
        </w:tc>
        <w:tc>
          <w:tcPr>
            <w:tcW w:type="dxa" w:w="5256"/>
            <w:vAlign w:val="center"/>
          </w:tcPr>
          <w:p>
            <w:pPr>
              <w:spacing w:after="20"/>
            </w:pPr>
            <w:r/>
            <w:r>
              <w:rPr>
                <w:b w:val="0"/>
                <w:sz w:val="17"/>
              </w:rPr>
              <w:t>id, student reference, module reference, status, start/end timestamps</w:t>
            </w:r>
          </w:p>
        </w:tc>
      </w:tr>
      <w:tr>
        <w:tc>
          <w:tcPr>
            <w:tcW w:type="dxa" w:w="1944"/>
            <w:vAlign w:val="center"/>
          </w:tcPr>
          <w:p>
            <w:pPr>
              <w:spacing w:after="20"/>
            </w:pPr>
            <w:r/>
            <w:r>
              <w:rPr>
                <w:b w:val="0"/>
                <w:sz w:val="17"/>
              </w:rPr>
              <w:t>AnswerResponse</w:t>
            </w:r>
          </w:p>
        </w:tc>
        <w:tc>
          <w:tcPr>
            <w:tcW w:type="dxa" w:w="3240"/>
            <w:vAlign w:val="center"/>
          </w:tcPr>
          <w:p>
            <w:pPr>
              <w:spacing w:after="20"/>
            </w:pPr>
            <w:r/>
            <w:r>
              <w:rPr>
                <w:b w:val="0"/>
                <w:sz w:val="17"/>
              </w:rPr>
              <w:t>Represents a response to a diagnostic or conceptual question.</w:t>
            </w:r>
          </w:p>
        </w:tc>
        <w:tc>
          <w:tcPr>
            <w:tcW w:type="dxa" w:w="5256"/>
            <w:vAlign w:val="center"/>
          </w:tcPr>
          <w:p>
            <w:pPr>
              <w:spacing w:after="20"/>
            </w:pPr>
            <w:r/>
            <w:r>
              <w:rPr>
                <w:b w:val="0"/>
                <w:sz w:val="17"/>
              </w:rPr>
              <w:t>id, attempt reference, question reference, submitted answer, correctness/score where applicable, timestamp</w:t>
            </w:r>
          </w:p>
        </w:tc>
      </w:tr>
      <w:tr>
        <w:tc>
          <w:tcPr>
            <w:tcW w:type="dxa" w:w="1944"/>
            <w:vAlign w:val="center"/>
          </w:tcPr>
          <w:p>
            <w:pPr>
              <w:spacing w:after="20"/>
            </w:pPr>
            <w:r/>
            <w:r>
              <w:rPr>
                <w:b w:val="0"/>
                <w:sz w:val="17"/>
              </w:rPr>
              <w:t>CodeSubmission</w:t>
            </w:r>
          </w:p>
        </w:tc>
        <w:tc>
          <w:tcPr>
            <w:tcW w:type="dxa" w:w="3240"/>
            <w:vAlign w:val="center"/>
          </w:tcPr>
          <w:p>
            <w:pPr>
              <w:spacing w:after="20"/>
            </w:pPr>
            <w:r/>
            <w:r>
              <w:rPr>
                <w:b w:val="0"/>
                <w:sz w:val="17"/>
              </w:rPr>
              <w:t>Represents a submitted code version.</w:t>
            </w:r>
          </w:p>
        </w:tc>
        <w:tc>
          <w:tcPr>
            <w:tcW w:type="dxa" w:w="5256"/>
            <w:vAlign w:val="center"/>
          </w:tcPr>
          <w:p>
            <w:pPr>
              <w:spacing w:after="20"/>
            </w:pPr>
            <w:r/>
            <w:r>
              <w:rPr>
                <w:b w:val="0"/>
                <w:sz w:val="17"/>
              </w:rPr>
              <w:t>id, attempt reference, source code or protected reference, submission status, timestamp</w:t>
            </w:r>
          </w:p>
        </w:tc>
      </w:tr>
      <w:tr>
        <w:tc>
          <w:tcPr>
            <w:tcW w:type="dxa" w:w="1944"/>
            <w:vAlign w:val="center"/>
          </w:tcPr>
          <w:p>
            <w:pPr>
              <w:spacing w:after="20"/>
            </w:pPr>
            <w:r/>
            <w:r>
              <w:rPr>
                <w:b w:val="0"/>
                <w:sz w:val="17"/>
              </w:rPr>
              <w:t>ExecutionResult</w:t>
            </w:r>
          </w:p>
        </w:tc>
        <w:tc>
          <w:tcPr>
            <w:tcW w:type="dxa" w:w="3240"/>
            <w:vAlign w:val="center"/>
          </w:tcPr>
          <w:p>
            <w:pPr>
              <w:spacing w:after="20"/>
            </w:pPr>
            <w:r/>
            <w:r>
              <w:rPr>
                <w:b w:val="0"/>
                <w:sz w:val="17"/>
              </w:rPr>
              <w:t>Represents the isolated runner's result.</w:t>
            </w:r>
          </w:p>
        </w:tc>
        <w:tc>
          <w:tcPr>
            <w:tcW w:type="dxa" w:w="5256"/>
            <w:vAlign w:val="center"/>
          </w:tcPr>
          <w:p>
            <w:pPr>
              <w:spacing w:after="20"/>
            </w:pPr>
            <w:r/>
            <w:r>
              <w:rPr>
                <w:b w:val="0"/>
                <w:sz w:val="17"/>
              </w:rPr>
              <w:t>id, submission reference, execution status, tests passed/total, bounded output/diagnostics, duration, timestamp</w:t>
            </w:r>
          </w:p>
        </w:tc>
      </w:tr>
      <w:tr>
        <w:tc>
          <w:tcPr>
            <w:tcW w:type="dxa" w:w="1944"/>
            <w:vAlign w:val="center"/>
          </w:tcPr>
          <w:p>
            <w:pPr>
              <w:spacing w:after="20"/>
            </w:pPr>
            <w:r/>
            <w:r>
              <w:rPr>
                <w:b w:val="0"/>
                <w:sz w:val="17"/>
              </w:rPr>
              <w:t>ExplanationResponse</w:t>
            </w:r>
          </w:p>
        </w:tc>
        <w:tc>
          <w:tcPr>
            <w:tcW w:type="dxa" w:w="3240"/>
            <w:vAlign w:val="center"/>
          </w:tcPr>
          <w:p>
            <w:pPr>
              <w:spacing w:after="20"/>
            </w:pPr>
            <w:r/>
            <w:r>
              <w:rPr>
                <w:b w:val="0"/>
                <w:sz w:val="17"/>
              </w:rPr>
              <w:t>Represents a student's answer to an explain-your-code question.</w:t>
            </w:r>
          </w:p>
        </w:tc>
        <w:tc>
          <w:tcPr>
            <w:tcW w:type="dxa" w:w="5256"/>
            <w:vAlign w:val="center"/>
          </w:tcPr>
          <w:p>
            <w:pPr>
              <w:spacing w:after="20"/>
            </w:pPr>
            <w:r/>
            <w:r>
              <w:rPr>
                <w:b w:val="0"/>
                <w:sz w:val="17"/>
              </w:rPr>
              <w:t>id, attempt reference, question reference, response text, review/score state, timestamp</w:t>
            </w:r>
          </w:p>
        </w:tc>
      </w:tr>
      <w:tr>
        <w:tc>
          <w:tcPr>
            <w:tcW w:type="dxa" w:w="1944"/>
            <w:vAlign w:val="center"/>
          </w:tcPr>
          <w:p>
            <w:pPr>
              <w:spacing w:after="20"/>
            </w:pPr>
            <w:r/>
            <w:r>
              <w:rPr>
                <w:b w:val="0"/>
                <w:sz w:val="17"/>
              </w:rPr>
              <w:t>Recommendation</w:t>
            </w:r>
          </w:p>
        </w:tc>
        <w:tc>
          <w:tcPr>
            <w:tcW w:type="dxa" w:w="3240"/>
            <w:vAlign w:val="center"/>
          </w:tcPr>
          <w:p>
            <w:pPr>
              <w:spacing w:after="20"/>
            </w:pPr>
            <w:r/>
            <w:r>
              <w:rPr>
                <w:b w:val="0"/>
                <w:sz w:val="17"/>
              </w:rPr>
              <w:t>Represents the suggested next activity and its rationale.</w:t>
            </w:r>
          </w:p>
        </w:tc>
        <w:tc>
          <w:tcPr>
            <w:tcW w:type="dxa" w:w="5256"/>
            <w:vAlign w:val="center"/>
          </w:tcPr>
          <w:p>
            <w:pPr>
              <w:spacing w:after="20"/>
            </w:pPr>
            <w:r/>
            <w:r>
              <w:rPr>
                <w:b w:val="0"/>
                <w:sz w:val="17"/>
              </w:rPr>
              <w:t>id, attempt reference, target concept, activity reference, rule identifier/version, reason, created timestamp</w:t>
            </w:r>
          </w:p>
        </w:tc>
      </w:tr>
    </w:tbl>
    <w:p/>
    <w:p>
      <w:pPr>
        <w:pStyle w:val="Heading2"/>
      </w:pPr>
      <w:r>
        <w:t>7.1 Data rules</w:t>
      </w:r>
    </w:p>
    <w:p>
      <w:pPr>
        <w:pStyle w:val="ListBullet"/>
        <w:spacing w:after="40"/>
      </w:pPr>
      <w:r>
        <w:t>Every student attempt must belong to a known student and module.</w:t>
      </w:r>
    </w:p>
    <w:p>
      <w:pPr>
        <w:pStyle w:val="ListBullet"/>
        <w:spacing w:after="40"/>
      </w:pPr>
      <w:r>
        <w:t>Every question used in an assessment must be approved and active.</w:t>
      </w:r>
    </w:p>
    <w:p>
      <w:pPr>
        <w:pStyle w:val="ListBullet"/>
        <w:spacing w:after="40"/>
      </w:pPr>
      <w:r>
        <w:t>Every submitted code attempt must have a traceable execution status or a recorded execution failure.</w:t>
      </w:r>
    </w:p>
    <w:p>
      <w:pPr>
        <w:pStyle w:val="ListBullet"/>
        <w:spacing w:after="40"/>
      </w:pPr>
      <w:r>
        <w:t>Hidden tests and authoritative expected results must not be sent to the browser.</w:t>
      </w:r>
    </w:p>
    <w:p>
      <w:pPr>
        <w:pStyle w:val="ListBullet"/>
        <w:spacing w:after="40"/>
      </w:pPr>
      <w:r>
        <w:t>A recommendation must reference a valid activity or explicitly record that no suitable activity exists.</w:t>
      </w:r>
    </w:p>
    <w:p>
      <w:pPr>
        <w:pStyle w:val="ListBullet"/>
        <w:spacing w:after="40"/>
      </w:pPr>
      <w:r>
        <w:t>Store only data needed for the MVP; define retention and deletion behavior before using real student data.</w:t>
      </w:r>
    </w:p>
    <w:p>
      <w:pPr>
        <w:pStyle w:val="ListBullet"/>
        <w:spacing w:after="40"/>
      </w:pPr>
      <w:r>
        <w:t>Use stable IDs and database constraints to prevent invalid references and accidental cross-record association.</w:t>
      </w:r>
    </w:p>
    <w:p>
      <w:pPr>
        <w:pStyle w:val="Heading1"/>
      </w:pPr>
      <w:r>
        <w:t>8. External Interfaces and API Expectations</w:t>
      </w:r>
    </w:p>
    <w:p>
      <w:r>
        <w:t>The exact endpoint names and payload schemas will be finalized with the implementation. The following are logical API capabilities that the frontend and backend must support.</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CFE2F3"/>
          </w:tcPr>
          <w:p>
            <w:pPr>
              <w:spacing w:after="20"/>
            </w:pPr>
            <w:r/>
            <w:r>
              <w:rPr>
                <w:b/>
                <w:sz w:val="17"/>
              </w:rPr>
              <w:t>Capability</w:t>
            </w:r>
          </w:p>
        </w:tc>
        <w:tc>
          <w:tcPr>
            <w:tcW w:type="dxa" w:w="2304"/>
            <w:vAlign w:val="center"/>
            <w:shd w:fill="CFE2F3"/>
          </w:tcPr>
          <w:p>
            <w:pPr>
              <w:spacing w:after="20"/>
            </w:pPr>
            <w:r/>
            <w:r>
              <w:rPr>
                <w:b/>
                <w:sz w:val="17"/>
              </w:rPr>
              <w:t>Typical operation</w:t>
            </w:r>
          </w:p>
        </w:tc>
        <w:tc>
          <w:tcPr>
            <w:tcW w:type="dxa" w:w="5976"/>
            <w:vAlign w:val="center"/>
            <w:shd w:fill="CFE2F3"/>
          </w:tcPr>
          <w:p>
            <w:pPr>
              <w:spacing w:after="20"/>
            </w:pPr>
            <w:r/>
            <w:r>
              <w:rPr>
                <w:b/>
                <w:sz w:val="17"/>
              </w:rPr>
              <w:t>Purpose</w:t>
            </w:r>
          </w:p>
        </w:tc>
      </w:tr>
      <w:tr>
        <w:tc>
          <w:tcPr>
            <w:tcW w:type="dxa" w:w="2160"/>
            <w:vAlign w:val="center"/>
          </w:tcPr>
          <w:p>
            <w:pPr>
              <w:spacing w:after="20"/>
            </w:pPr>
            <w:r/>
            <w:r>
              <w:rPr>
                <w:b w:val="0"/>
                <w:sz w:val="17"/>
              </w:rPr>
              <w:t>Health</w:t>
            </w:r>
          </w:p>
        </w:tc>
        <w:tc>
          <w:tcPr>
            <w:tcW w:type="dxa" w:w="2304"/>
            <w:vAlign w:val="center"/>
          </w:tcPr>
          <w:p>
            <w:pPr>
              <w:spacing w:after="20"/>
            </w:pPr>
            <w:r/>
            <w:r>
              <w:rPr>
                <w:b w:val="0"/>
                <w:sz w:val="17"/>
              </w:rPr>
              <w:t>GET</w:t>
            </w:r>
          </w:p>
        </w:tc>
        <w:tc>
          <w:tcPr>
            <w:tcW w:type="dxa" w:w="5976"/>
            <w:vAlign w:val="center"/>
          </w:tcPr>
          <w:p>
            <w:pPr>
              <w:spacing w:after="20"/>
            </w:pPr>
            <w:r/>
            <w:r>
              <w:rPr>
                <w:b w:val="0"/>
                <w:sz w:val="17"/>
              </w:rPr>
              <w:t>Check API process and database connectivity.</w:t>
            </w:r>
          </w:p>
        </w:tc>
      </w:tr>
      <w:tr>
        <w:tc>
          <w:tcPr>
            <w:tcW w:type="dxa" w:w="2160"/>
            <w:vAlign w:val="center"/>
          </w:tcPr>
          <w:p>
            <w:pPr>
              <w:spacing w:after="20"/>
            </w:pPr>
            <w:r/>
            <w:r>
              <w:rPr>
                <w:b w:val="0"/>
                <w:sz w:val="17"/>
              </w:rPr>
              <w:t>Module content</w:t>
            </w:r>
          </w:p>
        </w:tc>
        <w:tc>
          <w:tcPr>
            <w:tcW w:type="dxa" w:w="2304"/>
            <w:vAlign w:val="center"/>
          </w:tcPr>
          <w:p>
            <w:pPr>
              <w:spacing w:after="20"/>
            </w:pPr>
            <w:r/>
            <w:r>
              <w:rPr>
                <w:b w:val="0"/>
                <w:sz w:val="17"/>
              </w:rPr>
              <w:t>GET</w:t>
            </w:r>
          </w:p>
        </w:tc>
        <w:tc>
          <w:tcPr>
            <w:tcW w:type="dxa" w:w="5976"/>
            <w:vAlign w:val="center"/>
          </w:tcPr>
          <w:p>
            <w:pPr>
              <w:spacing w:after="20"/>
            </w:pPr>
            <w:r/>
            <w:r>
              <w:rPr>
                <w:b w:val="0"/>
                <w:sz w:val="17"/>
              </w:rPr>
              <w:t>Retrieve the active module, concepts, and approved activities.</w:t>
            </w:r>
          </w:p>
        </w:tc>
      </w:tr>
      <w:tr>
        <w:tc>
          <w:tcPr>
            <w:tcW w:type="dxa" w:w="2160"/>
            <w:vAlign w:val="center"/>
          </w:tcPr>
          <w:p>
            <w:pPr>
              <w:spacing w:after="20"/>
            </w:pPr>
            <w:r/>
            <w:r>
              <w:rPr>
                <w:b w:val="0"/>
                <w:sz w:val="17"/>
              </w:rPr>
              <w:t>Start assessment</w:t>
            </w:r>
          </w:p>
        </w:tc>
        <w:tc>
          <w:tcPr>
            <w:tcW w:type="dxa" w:w="2304"/>
            <w:vAlign w:val="center"/>
          </w:tcPr>
          <w:p>
            <w:pPr>
              <w:spacing w:after="20"/>
            </w:pPr>
            <w:r/>
            <w:r>
              <w:rPr>
                <w:b w:val="0"/>
                <w:sz w:val="17"/>
              </w:rPr>
              <w:t>POST</w:t>
            </w:r>
          </w:p>
        </w:tc>
        <w:tc>
          <w:tcPr>
            <w:tcW w:type="dxa" w:w="5976"/>
            <w:vAlign w:val="center"/>
          </w:tcPr>
          <w:p>
            <w:pPr>
              <w:spacing w:after="20"/>
            </w:pPr>
            <w:r/>
            <w:r>
              <w:rPr>
                <w:b w:val="0"/>
                <w:sz w:val="17"/>
              </w:rPr>
              <w:t>Create an assessment attempt for the authenticated student.</w:t>
            </w:r>
          </w:p>
        </w:tc>
      </w:tr>
      <w:tr>
        <w:tc>
          <w:tcPr>
            <w:tcW w:type="dxa" w:w="2160"/>
            <w:vAlign w:val="center"/>
          </w:tcPr>
          <w:p>
            <w:pPr>
              <w:spacing w:after="20"/>
            </w:pPr>
            <w:r/>
            <w:r>
              <w:rPr>
                <w:b w:val="0"/>
                <w:sz w:val="17"/>
              </w:rPr>
              <w:t>Get assessment</w:t>
            </w:r>
          </w:p>
        </w:tc>
        <w:tc>
          <w:tcPr>
            <w:tcW w:type="dxa" w:w="2304"/>
            <w:vAlign w:val="center"/>
          </w:tcPr>
          <w:p>
            <w:pPr>
              <w:spacing w:after="20"/>
            </w:pPr>
            <w:r/>
            <w:r>
              <w:rPr>
                <w:b w:val="0"/>
                <w:sz w:val="17"/>
              </w:rPr>
              <w:t>GET</w:t>
            </w:r>
          </w:p>
        </w:tc>
        <w:tc>
          <w:tcPr>
            <w:tcW w:type="dxa" w:w="5976"/>
            <w:vAlign w:val="center"/>
          </w:tcPr>
          <w:p>
            <w:pPr>
              <w:spacing w:after="20"/>
            </w:pPr>
            <w:r/>
            <w:r>
              <w:rPr>
                <w:b w:val="0"/>
                <w:sz w:val="17"/>
              </w:rPr>
              <w:t>Retrieve the questions and current attempt state.</w:t>
            </w:r>
          </w:p>
        </w:tc>
      </w:tr>
      <w:tr>
        <w:tc>
          <w:tcPr>
            <w:tcW w:type="dxa" w:w="2160"/>
            <w:vAlign w:val="center"/>
          </w:tcPr>
          <w:p>
            <w:pPr>
              <w:spacing w:after="20"/>
            </w:pPr>
            <w:r/>
            <w:r>
              <w:rPr>
                <w:b w:val="0"/>
                <w:sz w:val="17"/>
              </w:rPr>
              <w:t>Submit answer</w:t>
            </w:r>
          </w:p>
        </w:tc>
        <w:tc>
          <w:tcPr>
            <w:tcW w:type="dxa" w:w="2304"/>
            <w:vAlign w:val="center"/>
          </w:tcPr>
          <w:p>
            <w:pPr>
              <w:spacing w:after="20"/>
            </w:pPr>
            <w:r/>
            <w:r>
              <w:rPr>
                <w:b w:val="0"/>
                <w:sz w:val="17"/>
              </w:rPr>
              <w:t>POST</w:t>
            </w:r>
          </w:p>
        </w:tc>
        <w:tc>
          <w:tcPr>
            <w:tcW w:type="dxa" w:w="5976"/>
            <w:vAlign w:val="center"/>
          </w:tcPr>
          <w:p>
            <w:pPr>
              <w:spacing w:after="20"/>
            </w:pPr>
            <w:r/>
            <w:r>
              <w:rPr>
                <w:b w:val="0"/>
                <w:sz w:val="17"/>
              </w:rPr>
              <w:t>Validate and store a diagnostic or conceptual response.</w:t>
            </w:r>
          </w:p>
        </w:tc>
      </w:tr>
      <w:tr>
        <w:tc>
          <w:tcPr>
            <w:tcW w:type="dxa" w:w="2160"/>
            <w:vAlign w:val="center"/>
          </w:tcPr>
          <w:p>
            <w:pPr>
              <w:spacing w:after="20"/>
            </w:pPr>
            <w:r/>
            <w:r>
              <w:rPr>
                <w:b w:val="0"/>
                <w:sz w:val="17"/>
              </w:rPr>
              <w:t>Submit code</w:t>
            </w:r>
          </w:p>
        </w:tc>
        <w:tc>
          <w:tcPr>
            <w:tcW w:type="dxa" w:w="2304"/>
            <w:vAlign w:val="center"/>
          </w:tcPr>
          <w:p>
            <w:pPr>
              <w:spacing w:after="20"/>
            </w:pPr>
            <w:r/>
            <w:r>
              <w:rPr>
                <w:b w:val="0"/>
                <w:sz w:val="17"/>
              </w:rPr>
              <w:t>POST</w:t>
            </w:r>
          </w:p>
        </w:tc>
        <w:tc>
          <w:tcPr>
            <w:tcW w:type="dxa" w:w="5976"/>
            <w:vAlign w:val="center"/>
          </w:tcPr>
          <w:p>
            <w:pPr>
              <w:spacing w:after="20"/>
            </w:pPr>
            <w:r/>
            <w:r>
              <w:rPr>
                <w:b w:val="0"/>
                <w:sz w:val="17"/>
              </w:rPr>
              <w:t>Create a code submission and request isolated execution.</w:t>
            </w:r>
          </w:p>
        </w:tc>
      </w:tr>
      <w:tr>
        <w:tc>
          <w:tcPr>
            <w:tcW w:type="dxa" w:w="2160"/>
            <w:vAlign w:val="center"/>
          </w:tcPr>
          <w:p>
            <w:pPr>
              <w:spacing w:after="20"/>
            </w:pPr>
            <w:r/>
            <w:r>
              <w:rPr>
                <w:b w:val="0"/>
                <w:sz w:val="17"/>
              </w:rPr>
              <w:t>Get execution result</w:t>
            </w:r>
          </w:p>
        </w:tc>
        <w:tc>
          <w:tcPr>
            <w:tcW w:type="dxa" w:w="2304"/>
            <w:vAlign w:val="center"/>
          </w:tcPr>
          <w:p>
            <w:pPr>
              <w:spacing w:after="20"/>
            </w:pPr>
            <w:r/>
            <w:r>
              <w:rPr>
                <w:b w:val="0"/>
                <w:sz w:val="17"/>
              </w:rPr>
              <w:t>GET or response from submit</w:t>
            </w:r>
          </w:p>
        </w:tc>
        <w:tc>
          <w:tcPr>
            <w:tcW w:type="dxa" w:w="5976"/>
            <w:vAlign w:val="center"/>
          </w:tcPr>
          <w:p>
            <w:pPr>
              <w:spacing w:after="20"/>
            </w:pPr>
            <w:r/>
            <w:r>
              <w:rPr>
                <w:b w:val="0"/>
                <w:sz w:val="17"/>
              </w:rPr>
              <w:t>Retrieve the structured result of the code runner.</w:t>
            </w:r>
          </w:p>
        </w:tc>
      </w:tr>
      <w:tr>
        <w:tc>
          <w:tcPr>
            <w:tcW w:type="dxa" w:w="2160"/>
            <w:vAlign w:val="center"/>
          </w:tcPr>
          <w:p>
            <w:pPr>
              <w:spacing w:after="20"/>
            </w:pPr>
            <w:r/>
            <w:r>
              <w:rPr>
                <w:b w:val="0"/>
                <w:sz w:val="17"/>
              </w:rPr>
              <w:t>Submit explanation</w:t>
            </w:r>
          </w:p>
        </w:tc>
        <w:tc>
          <w:tcPr>
            <w:tcW w:type="dxa" w:w="2304"/>
            <w:vAlign w:val="center"/>
          </w:tcPr>
          <w:p>
            <w:pPr>
              <w:spacing w:after="20"/>
            </w:pPr>
            <w:r/>
            <w:r>
              <w:rPr>
                <w:b w:val="0"/>
                <w:sz w:val="17"/>
              </w:rPr>
              <w:t>POST</w:t>
            </w:r>
          </w:p>
        </w:tc>
        <w:tc>
          <w:tcPr>
            <w:tcW w:type="dxa" w:w="5976"/>
            <w:vAlign w:val="center"/>
          </w:tcPr>
          <w:p>
            <w:pPr>
              <w:spacing w:after="20"/>
            </w:pPr>
            <w:r/>
            <w:r>
              <w:rPr>
                <w:b w:val="0"/>
                <w:sz w:val="17"/>
              </w:rPr>
              <w:t>Store an explanation response.</w:t>
            </w:r>
          </w:p>
        </w:tc>
      </w:tr>
      <w:tr>
        <w:tc>
          <w:tcPr>
            <w:tcW w:type="dxa" w:w="2160"/>
            <w:vAlign w:val="center"/>
          </w:tcPr>
          <w:p>
            <w:pPr>
              <w:spacing w:after="20"/>
            </w:pPr>
            <w:r/>
            <w:r>
              <w:rPr>
                <w:b w:val="0"/>
                <w:sz w:val="17"/>
              </w:rPr>
              <w:t>Get recommendation</w:t>
            </w:r>
          </w:p>
        </w:tc>
        <w:tc>
          <w:tcPr>
            <w:tcW w:type="dxa" w:w="2304"/>
            <w:vAlign w:val="center"/>
          </w:tcPr>
          <w:p>
            <w:pPr>
              <w:spacing w:after="20"/>
            </w:pPr>
            <w:r/>
            <w:r>
              <w:rPr>
                <w:b w:val="0"/>
                <w:sz w:val="17"/>
              </w:rPr>
              <w:t>GET or response from completion</w:t>
            </w:r>
          </w:p>
        </w:tc>
        <w:tc>
          <w:tcPr>
            <w:tcW w:type="dxa" w:w="5976"/>
            <w:vAlign w:val="center"/>
          </w:tcPr>
          <w:p>
            <w:pPr>
              <w:spacing w:after="20"/>
            </w:pPr>
            <w:r/>
            <w:r>
              <w:rPr>
                <w:b w:val="0"/>
                <w:sz w:val="17"/>
              </w:rPr>
              <w:t>Return the next activity and rationale.</w:t>
            </w:r>
          </w:p>
        </w:tc>
      </w:tr>
      <w:tr>
        <w:tc>
          <w:tcPr>
            <w:tcW w:type="dxa" w:w="2160"/>
            <w:vAlign w:val="center"/>
          </w:tcPr>
          <w:p>
            <w:pPr>
              <w:spacing w:after="20"/>
            </w:pPr>
            <w:r/>
            <w:r>
              <w:rPr>
                <w:b w:val="0"/>
                <w:sz w:val="17"/>
              </w:rPr>
              <w:t>Teacher results</w:t>
            </w:r>
          </w:p>
        </w:tc>
        <w:tc>
          <w:tcPr>
            <w:tcW w:type="dxa" w:w="2304"/>
            <w:vAlign w:val="center"/>
          </w:tcPr>
          <w:p>
            <w:pPr>
              <w:spacing w:after="20"/>
            </w:pPr>
            <w:r/>
            <w:r>
              <w:rPr>
                <w:b w:val="0"/>
                <w:sz w:val="17"/>
              </w:rPr>
              <w:t>GET</w:t>
            </w:r>
          </w:p>
        </w:tc>
        <w:tc>
          <w:tcPr>
            <w:tcW w:type="dxa" w:w="5976"/>
            <w:vAlign w:val="center"/>
          </w:tcPr>
          <w:p>
            <w:pPr>
              <w:spacing w:after="20"/>
            </w:pPr>
            <w:r/>
            <w:r>
              <w:rPr>
                <w:b w:val="0"/>
                <w:sz w:val="17"/>
              </w:rPr>
              <w:t>Return authorized student attempt summaries and details.</w:t>
            </w:r>
          </w:p>
        </w:tc>
      </w:tr>
    </w:tbl>
    <w:p/>
    <w:p>
      <w:pPr>
        <w:pStyle w:val="Heading2"/>
      </w:pPr>
      <w:r>
        <w:t>8.1 API behavior</w:t>
      </w:r>
    </w:p>
    <w:p>
      <w:pPr>
        <w:pStyle w:val="ListBullet"/>
        <w:spacing w:after="40"/>
      </w:pPr>
      <w:r>
        <w:t>Use consistent JSON request and response formats.</w:t>
      </w:r>
    </w:p>
    <w:p>
      <w:pPr>
        <w:pStyle w:val="ListBullet"/>
        <w:spacing w:after="40"/>
      </w:pPr>
      <w:r>
        <w:t>Return appropriate HTTP status codes and safe, actionable error messages.</w:t>
      </w:r>
    </w:p>
    <w:p>
      <w:pPr>
        <w:pStyle w:val="ListBullet"/>
        <w:spacing w:after="40"/>
      </w:pPr>
      <w:r>
        <w:t>Do not expose stack traces, credentials, hidden tests, or internal infrastructure details to clients.</w:t>
      </w:r>
    </w:p>
    <w:p>
      <w:pPr>
        <w:pStyle w:val="ListBullet"/>
        <w:spacing w:after="40"/>
      </w:pPr>
      <w:r>
        <w:t>Validate the authenticated user's permission for every protected operation.</w:t>
      </w:r>
    </w:p>
    <w:p>
      <w:pPr>
        <w:pStyle w:val="ListBullet"/>
        <w:spacing w:after="40"/>
      </w:pPr>
      <w:r>
        <w:t>Treat client-supplied student IDs, scores, roles, and test outcomes as untrusted.</w:t>
      </w:r>
    </w:p>
    <w:p>
      <w:pPr>
        <w:pStyle w:val="ListBullet"/>
        <w:spacing w:after="40"/>
      </w:pPr>
      <w:r>
        <w:t>Use request/attempt identifiers to make retries safe where an operation can be repeated.</w:t>
      </w:r>
    </w:p>
    <w:p>
      <w:pPr>
        <w:pStyle w:val="Heading1"/>
      </w:pPr>
      <w:r>
        <w:t>9. Non-Functional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936"/>
            <w:vAlign w:val="center"/>
            <w:shd w:fill="CFE2F3"/>
          </w:tcPr>
          <w:p>
            <w:pPr>
              <w:spacing w:after="20"/>
            </w:pPr>
            <w:r/>
            <w:r>
              <w:rPr>
                <w:b/>
                <w:sz w:val="17"/>
              </w:rPr>
              <w:t>ID</w:t>
            </w:r>
          </w:p>
        </w:tc>
        <w:tc>
          <w:tcPr>
            <w:tcW w:type="dxa" w:w="1440"/>
            <w:vAlign w:val="center"/>
            <w:shd w:fill="CFE2F3"/>
          </w:tcPr>
          <w:p>
            <w:pPr>
              <w:spacing w:after="20"/>
            </w:pPr>
            <w:r/>
            <w:r>
              <w:rPr>
                <w:b/>
                <w:sz w:val="17"/>
              </w:rPr>
              <w:t>Category</w:t>
            </w:r>
          </w:p>
        </w:tc>
        <w:tc>
          <w:tcPr>
            <w:tcW w:type="dxa" w:w="792"/>
            <w:vAlign w:val="center"/>
            <w:shd w:fill="CFE2F3"/>
          </w:tcPr>
          <w:p>
            <w:pPr>
              <w:spacing w:after="20"/>
            </w:pPr>
            <w:r/>
            <w:r>
              <w:rPr>
                <w:b/>
                <w:sz w:val="17"/>
              </w:rPr>
              <w:t>Priority</w:t>
            </w:r>
          </w:p>
        </w:tc>
        <w:tc>
          <w:tcPr>
            <w:tcW w:type="dxa" w:w="7272"/>
            <w:vAlign w:val="center"/>
            <w:shd w:fill="CFE2F3"/>
          </w:tcPr>
          <w:p>
            <w:pPr>
              <w:spacing w:after="20"/>
            </w:pPr>
            <w:r/>
            <w:r>
              <w:rPr>
                <w:b/>
                <w:sz w:val="17"/>
              </w:rPr>
              <w:t>Requirement</w:t>
            </w:r>
          </w:p>
        </w:tc>
      </w:tr>
      <w:tr>
        <w:tc>
          <w:tcPr>
            <w:tcW w:type="dxa" w:w="936"/>
            <w:vAlign w:val="center"/>
          </w:tcPr>
          <w:p>
            <w:pPr>
              <w:spacing w:after="20"/>
            </w:pPr>
            <w:r/>
            <w:r>
              <w:rPr>
                <w:b w:val="0"/>
                <w:sz w:val="17"/>
              </w:rPr>
              <w:t>NFR-001</w:t>
            </w:r>
          </w:p>
        </w:tc>
        <w:tc>
          <w:tcPr>
            <w:tcW w:type="dxa" w:w="1440"/>
            <w:vAlign w:val="center"/>
          </w:tcPr>
          <w:p>
            <w:pPr>
              <w:spacing w:after="20"/>
            </w:pPr>
            <w:r/>
            <w:r>
              <w:rPr>
                <w:b w:val="0"/>
                <w:sz w:val="17"/>
              </w:rPr>
              <w:t>Security</w:t>
            </w:r>
          </w:p>
        </w:tc>
        <w:tc>
          <w:tcPr>
            <w:tcW w:type="dxa" w:w="792"/>
            <w:vAlign w:val="center"/>
          </w:tcPr>
          <w:p>
            <w:pPr>
              <w:spacing w:after="20"/>
            </w:pPr>
            <w:r/>
            <w:r>
              <w:rPr>
                <w:b w:val="0"/>
                <w:sz w:val="17"/>
              </w:rPr>
              <w:t>P0</w:t>
            </w:r>
          </w:p>
        </w:tc>
        <w:tc>
          <w:tcPr>
            <w:tcW w:type="dxa" w:w="7272"/>
            <w:vAlign w:val="center"/>
          </w:tcPr>
          <w:p>
            <w:pPr>
              <w:spacing w:after="20"/>
            </w:pPr>
            <w:r/>
            <w:r>
              <w:rPr>
                <w:b w:val="0"/>
                <w:sz w:val="17"/>
              </w:rPr>
              <w:t>Student code must execute in an isolated environment with CPU, memory, execution-time, process, and output limits; network access should be disabled unless explicitly required.</w:t>
            </w:r>
          </w:p>
        </w:tc>
      </w:tr>
      <w:tr>
        <w:tc>
          <w:tcPr>
            <w:tcW w:type="dxa" w:w="936"/>
            <w:vAlign w:val="center"/>
          </w:tcPr>
          <w:p>
            <w:pPr>
              <w:spacing w:after="20"/>
            </w:pPr>
            <w:r/>
            <w:r>
              <w:rPr>
                <w:b w:val="0"/>
                <w:sz w:val="17"/>
              </w:rPr>
              <w:t>NFR-002</w:t>
            </w:r>
          </w:p>
        </w:tc>
        <w:tc>
          <w:tcPr>
            <w:tcW w:type="dxa" w:w="1440"/>
            <w:vAlign w:val="center"/>
          </w:tcPr>
          <w:p>
            <w:pPr>
              <w:spacing w:after="20"/>
            </w:pPr>
            <w:r/>
            <w:r>
              <w:rPr>
                <w:b w:val="0"/>
                <w:sz w:val="17"/>
              </w:rPr>
              <w:t>Security</w:t>
            </w:r>
          </w:p>
        </w:tc>
        <w:tc>
          <w:tcPr>
            <w:tcW w:type="dxa" w:w="792"/>
            <w:vAlign w:val="center"/>
          </w:tcPr>
          <w:p>
            <w:pPr>
              <w:spacing w:after="20"/>
            </w:pPr>
            <w:r/>
            <w:r>
              <w:rPr>
                <w:b w:val="0"/>
                <w:sz w:val="17"/>
              </w:rPr>
              <w:t>P0</w:t>
            </w:r>
          </w:p>
        </w:tc>
        <w:tc>
          <w:tcPr>
            <w:tcW w:type="dxa" w:w="7272"/>
            <w:vAlign w:val="center"/>
          </w:tcPr>
          <w:p>
            <w:pPr>
              <w:spacing w:after="20"/>
            </w:pPr>
            <w:r/>
            <w:r>
              <w:rPr>
                <w:b w:val="0"/>
                <w:sz w:val="17"/>
              </w:rPr>
              <w:t>The FastAPI process must never execute arbitrary student code directly.</w:t>
            </w:r>
          </w:p>
        </w:tc>
      </w:tr>
      <w:tr>
        <w:tc>
          <w:tcPr>
            <w:tcW w:type="dxa" w:w="936"/>
            <w:vAlign w:val="center"/>
          </w:tcPr>
          <w:p>
            <w:pPr>
              <w:spacing w:after="20"/>
            </w:pPr>
            <w:r/>
            <w:r>
              <w:rPr>
                <w:b w:val="0"/>
                <w:sz w:val="17"/>
              </w:rPr>
              <w:t>NFR-003</w:t>
            </w:r>
          </w:p>
        </w:tc>
        <w:tc>
          <w:tcPr>
            <w:tcW w:type="dxa" w:w="1440"/>
            <w:vAlign w:val="center"/>
          </w:tcPr>
          <w:p>
            <w:pPr>
              <w:spacing w:after="20"/>
            </w:pPr>
            <w:r/>
            <w:r>
              <w:rPr>
                <w:b w:val="0"/>
                <w:sz w:val="17"/>
              </w:rPr>
              <w:t>Authorization</w:t>
            </w:r>
          </w:p>
        </w:tc>
        <w:tc>
          <w:tcPr>
            <w:tcW w:type="dxa" w:w="792"/>
            <w:vAlign w:val="center"/>
          </w:tcPr>
          <w:p>
            <w:pPr>
              <w:spacing w:after="20"/>
            </w:pPr>
            <w:r/>
            <w:r>
              <w:rPr>
                <w:b w:val="0"/>
                <w:sz w:val="17"/>
              </w:rPr>
              <w:t>P0</w:t>
            </w:r>
          </w:p>
        </w:tc>
        <w:tc>
          <w:tcPr>
            <w:tcW w:type="dxa" w:w="7272"/>
            <w:vAlign w:val="center"/>
          </w:tcPr>
          <w:p>
            <w:pPr>
              <w:spacing w:after="20"/>
            </w:pPr>
            <w:r/>
            <w:r>
              <w:rPr>
                <w:b w:val="0"/>
                <w:sz w:val="17"/>
              </w:rPr>
              <w:t>Backend authorization must prevent students from viewing or changing another student's records and prevent unauthorized teacher access.</w:t>
            </w:r>
          </w:p>
        </w:tc>
      </w:tr>
      <w:tr>
        <w:tc>
          <w:tcPr>
            <w:tcW w:type="dxa" w:w="936"/>
            <w:vAlign w:val="center"/>
          </w:tcPr>
          <w:p>
            <w:pPr>
              <w:spacing w:after="20"/>
            </w:pPr>
            <w:r/>
            <w:r>
              <w:rPr>
                <w:b w:val="0"/>
                <w:sz w:val="17"/>
              </w:rPr>
              <w:t>NFR-004</w:t>
            </w:r>
          </w:p>
        </w:tc>
        <w:tc>
          <w:tcPr>
            <w:tcW w:type="dxa" w:w="1440"/>
            <w:vAlign w:val="center"/>
          </w:tcPr>
          <w:p>
            <w:pPr>
              <w:spacing w:after="20"/>
            </w:pPr>
            <w:r/>
            <w:r>
              <w:rPr>
                <w:b w:val="0"/>
                <w:sz w:val="17"/>
              </w:rPr>
              <w:t>Secrets</w:t>
            </w:r>
          </w:p>
        </w:tc>
        <w:tc>
          <w:tcPr>
            <w:tcW w:type="dxa" w:w="792"/>
            <w:vAlign w:val="center"/>
          </w:tcPr>
          <w:p>
            <w:pPr>
              <w:spacing w:after="20"/>
            </w:pPr>
            <w:r/>
            <w:r>
              <w:rPr>
                <w:b w:val="0"/>
                <w:sz w:val="17"/>
              </w:rPr>
              <w:t>P0</w:t>
            </w:r>
          </w:p>
        </w:tc>
        <w:tc>
          <w:tcPr>
            <w:tcW w:type="dxa" w:w="7272"/>
            <w:vAlign w:val="center"/>
          </w:tcPr>
          <w:p>
            <w:pPr>
              <w:spacing w:after="20"/>
            </w:pPr>
            <w:r/>
            <w:r>
              <w:rPr>
                <w:b w:val="0"/>
                <w:sz w:val="17"/>
              </w:rPr>
              <w:t>Credentials and API keys must be stored in environment configuration or a secrets manager, never committed to version control or returned by APIs.</w:t>
            </w:r>
          </w:p>
        </w:tc>
      </w:tr>
      <w:tr>
        <w:tc>
          <w:tcPr>
            <w:tcW w:type="dxa" w:w="936"/>
            <w:vAlign w:val="center"/>
          </w:tcPr>
          <w:p>
            <w:pPr>
              <w:spacing w:after="20"/>
            </w:pPr>
            <w:r/>
            <w:r>
              <w:rPr>
                <w:b w:val="0"/>
                <w:sz w:val="17"/>
              </w:rPr>
              <w:t>NFR-005</w:t>
            </w:r>
          </w:p>
        </w:tc>
        <w:tc>
          <w:tcPr>
            <w:tcW w:type="dxa" w:w="1440"/>
            <w:vAlign w:val="center"/>
          </w:tcPr>
          <w:p>
            <w:pPr>
              <w:spacing w:after="20"/>
            </w:pPr>
            <w:r/>
            <w:r>
              <w:rPr>
                <w:b w:val="0"/>
                <w:sz w:val="17"/>
              </w:rPr>
              <w:t>Data integrity</w:t>
            </w:r>
          </w:p>
        </w:tc>
        <w:tc>
          <w:tcPr>
            <w:tcW w:type="dxa" w:w="792"/>
            <w:vAlign w:val="center"/>
          </w:tcPr>
          <w:p>
            <w:pPr>
              <w:spacing w:after="20"/>
            </w:pPr>
            <w:r/>
            <w:r>
              <w:rPr>
                <w:b w:val="0"/>
                <w:sz w:val="17"/>
              </w:rPr>
              <w:t>P0</w:t>
            </w:r>
          </w:p>
        </w:tc>
        <w:tc>
          <w:tcPr>
            <w:tcW w:type="dxa" w:w="7272"/>
            <w:vAlign w:val="center"/>
          </w:tcPr>
          <w:p>
            <w:pPr>
              <w:spacing w:after="20"/>
            </w:pPr>
            <w:r/>
            <w:r>
              <w:rPr>
                <w:b w:val="0"/>
                <w:sz w:val="17"/>
              </w:rPr>
              <w:t>Assessment state and associated results must be persisted consistently; partial failures must be visible and recoverable.</w:t>
            </w:r>
          </w:p>
        </w:tc>
      </w:tr>
      <w:tr>
        <w:tc>
          <w:tcPr>
            <w:tcW w:type="dxa" w:w="936"/>
            <w:vAlign w:val="center"/>
          </w:tcPr>
          <w:p>
            <w:pPr>
              <w:spacing w:after="20"/>
            </w:pPr>
            <w:r/>
            <w:r>
              <w:rPr>
                <w:b w:val="0"/>
                <w:sz w:val="17"/>
              </w:rPr>
              <w:t>NFR-006</w:t>
            </w:r>
          </w:p>
        </w:tc>
        <w:tc>
          <w:tcPr>
            <w:tcW w:type="dxa" w:w="1440"/>
            <w:vAlign w:val="center"/>
          </w:tcPr>
          <w:p>
            <w:pPr>
              <w:spacing w:after="20"/>
            </w:pPr>
            <w:r/>
            <w:r>
              <w:rPr>
                <w:b w:val="0"/>
                <w:sz w:val="17"/>
              </w:rPr>
              <w:t>Reliability</w:t>
            </w:r>
          </w:p>
        </w:tc>
        <w:tc>
          <w:tcPr>
            <w:tcW w:type="dxa" w:w="792"/>
            <w:vAlign w:val="center"/>
          </w:tcPr>
          <w:p>
            <w:pPr>
              <w:spacing w:after="20"/>
            </w:pPr>
            <w:r/>
            <w:r>
              <w:rPr>
                <w:b w:val="0"/>
                <w:sz w:val="17"/>
              </w:rPr>
              <w:t>P0</w:t>
            </w:r>
          </w:p>
        </w:tc>
        <w:tc>
          <w:tcPr>
            <w:tcW w:type="dxa" w:w="7272"/>
            <w:vAlign w:val="center"/>
          </w:tcPr>
          <w:p>
            <w:pPr>
              <w:spacing w:after="20"/>
            </w:pPr>
            <w:r/>
            <w:r>
              <w:rPr>
                <w:b w:val="0"/>
                <w:sz w:val="17"/>
              </w:rPr>
              <w:t>A code-runner outage must be reported distinctly from a failed student solution, and the submission must not receive a fabricated result.</w:t>
            </w:r>
          </w:p>
        </w:tc>
      </w:tr>
      <w:tr>
        <w:tc>
          <w:tcPr>
            <w:tcW w:type="dxa" w:w="936"/>
            <w:vAlign w:val="center"/>
          </w:tcPr>
          <w:p>
            <w:pPr>
              <w:spacing w:after="20"/>
            </w:pPr>
            <w:r/>
            <w:r>
              <w:rPr>
                <w:b w:val="0"/>
                <w:sz w:val="17"/>
              </w:rPr>
              <w:t>NFR-007</w:t>
            </w:r>
          </w:p>
        </w:tc>
        <w:tc>
          <w:tcPr>
            <w:tcW w:type="dxa" w:w="1440"/>
            <w:vAlign w:val="center"/>
          </w:tcPr>
          <w:p>
            <w:pPr>
              <w:spacing w:after="20"/>
            </w:pPr>
            <w:r/>
            <w:r>
              <w:rPr>
                <w:b w:val="0"/>
                <w:sz w:val="17"/>
              </w:rPr>
              <w:t>Usability</w:t>
            </w:r>
          </w:p>
        </w:tc>
        <w:tc>
          <w:tcPr>
            <w:tcW w:type="dxa" w:w="792"/>
            <w:vAlign w:val="center"/>
          </w:tcPr>
          <w:p>
            <w:pPr>
              <w:spacing w:after="20"/>
            </w:pPr>
            <w:r/>
            <w:r>
              <w:rPr>
                <w:b w:val="0"/>
                <w:sz w:val="17"/>
              </w:rPr>
              <w:t>P0</w:t>
            </w:r>
          </w:p>
        </w:tc>
        <w:tc>
          <w:tcPr>
            <w:tcW w:type="dxa" w:w="7272"/>
            <w:vAlign w:val="center"/>
          </w:tcPr>
          <w:p>
            <w:pPr>
              <w:spacing w:after="20"/>
            </w:pPr>
            <w:r/>
            <w:r>
              <w:rPr>
                <w:b w:val="0"/>
                <w:sz w:val="17"/>
              </w:rPr>
              <w:t>A student should be able to understand the task, submit a response, and interpret the result without needing technical assistance.</w:t>
            </w:r>
          </w:p>
        </w:tc>
      </w:tr>
      <w:tr>
        <w:tc>
          <w:tcPr>
            <w:tcW w:type="dxa" w:w="936"/>
            <w:vAlign w:val="center"/>
          </w:tcPr>
          <w:p>
            <w:pPr>
              <w:spacing w:after="20"/>
            </w:pPr>
            <w:r/>
            <w:r>
              <w:rPr>
                <w:b w:val="0"/>
                <w:sz w:val="17"/>
              </w:rPr>
              <w:t>NFR-008</w:t>
            </w:r>
          </w:p>
        </w:tc>
        <w:tc>
          <w:tcPr>
            <w:tcW w:type="dxa" w:w="1440"/>
            <w:vAlign w:val="center"/>
          </w:tcPr>
          <w:p>
            <w:pPr>
              <w:spacing w:after="20"/>
            </w:pPr>
            <w:r/>
            <w:r>
              <w:rPr>
                <w:b w:val="0"/>
                <w:sz w:val="17"/>
              </w:rPr>
              <w:t>Usability</w:t>
            </w:r>
          </w:p>
        </w:tc>
        <w:tc>
          <w:tcPr>
            <w:tcW w:type="dxa" w:w="792"/>
            <w:vAlign w:val="center"/>
          </w:tcPr>
          <w:p>
            <w:pPr>
              <w:spacing w:after="20"/>
            </w:pPr>
            <w:r/>
            <w:r>
              <w:rPr>
                <w:b w:val="0"/>
                <w:sz w:val="17"/>
              </w:rPr>
              <w:t>P0</w:t>
            </w:r>
          </w:p>
        </w:tc>
        <w:tc>
          <w:tcPr>
            <w:tcW w:type="dxa" w:w="7272"/>
            <w:vAlign w:val="center"/>
          </w:tcPr>
          <w:p>
            <w:pPr>
              <w:spacing w:after="20"/>
            </w:pPr>
            <w:r/>
            <w:r>
              <w:rPr>
                <w:b w:val="0"/>
                <w:sz w:val="17"/>
              </w:rPr>
              <w:t>Teacher results must show enough evidence to understand the recommendation rather than only displaying a single unexplained score.</w:t>
            </w:r>
          </w:p>
        </w:tc>
      </w:tr>
      <w:tr>
        <w:tc>
          <w:tcPr>
            <w:tcW w:type="dxa" w:w="936"/>
            <w:vAlign w:val="center"/>
          </w:tcPr>
          <w:p>
            <w:pPr>
              <w:spacing w:after="20"/>
            </w:pPr>
            <w:r/>
            <w:r>
              <w:rPr>
                <w:b w:val="0"/>
                <w:sz w:val="17"/>
              </w:rPr>
              <w:t>NFR-009</w:t>
            </w:r>
          </w:p>
        </w:tc>
        <w:tc>
          <w:tcPr>
            <w:tcW w:type="dxa" w:w="1440"/>
            <w:vAlign w:val="center"/>
          </w:tcPr>
          <w:p>
            <w:pPr>
              <w:spacing w:after="20"/>
            </w:pPr>
            <w:r/>
            <w:r>
              <w:rPr>
                <w:b w:val="0"/>
                <w:sz w:val="17"/>
              </w:rPr>
              <w:t>Performance</w:t>
            </w:r>
          </w:p>
        </w:tc>
        <w:tc>
          <w:tcPr>
            <w:tcW w:type="dxa" w:w="792"/>
            <w:vAlign w:val="center"/>
          </w:tcPr>
          <w:p>
            <w:pPr>
              <w:spacing w:after="20"/>
            </w:pPr>
            <w:r/>
            <w:r>
              <w:rPr>
                <w:b w:val="0"/>
                <w:sz w:val="17"/>
              </w:rPr>
              <w:t>P1</w:t>
            </w:r>
          </w:p>
        </w:tc>
        <w:tc>
          <w:tcPr>
            <w:tcW w:type="dxa" w:w="7272"/>
            <w:vAlign w:val="center"/>
          </w:tcPr>
          <w:p>
            <w:pPr>
              <w:spacing w:after="20"/>
            </w:pPr>
            <w:r/>
            <w:r>
              <w:rPr>
                <w:b w:val="0"/>
                <w:sz w:val="17"/>
              </w:rPr>
              <w:t>For ordinary non-execution API requests in the MVP environment, target a 95th-percentile response time under 1 second, excluding external service delays; validate this target with tests.</w:t>
            </w:r>
          </w:p>
        </w:tc>
      </w:tr>
      <w:tr>
        <w:tc>
          <w:tcPr>
            <w:tcW w:type="dxa" w:w="936"/>
            <w:vAlign w:val="center"/>
          </w:tcPr>
          <w:p>
            <w:pPr>
              <w:spacing w:after="20"/>
            </w:pPr>
            <w:r/>
            <w:r>
              <w:rPr>
                <w:b w:val="0"/>
                <w:sz w:val="17"/>
              </w:rPr>
              <w:t>NFR-010</w:t>
            </w:r>
          </w:p>
        </w:tc>
        <w:tc>
          <w:tcPr>
            <w:tcW w:type="dxa" w:w="1440"/>
            <w:vAlign w:val="center"/>
          </w:tcPr>
          <w:p>
            <w:pPr>
              <w:spacing w:after="20"/>
            </w:pPr>
            <w:r/>
            <w:r>
              <w:rPr>
                <w:b w:val="0"/>
                <w:sz w:val="17"/>
              </w:rPr>
              <w:t>Performance</w:t>
            </w:r>
          </w:p>
        </w:tc>
        <w:tc>
          <w:tcPr>
            <w:tcW w:type="dxa" w:w="792"/>
            <w:vAlign w:val="center"/>
          </w:tcPr>
          <w:p>
            <w:pPr>
              <w:spacing w:after="20"/>
            </w:pPr>
            <w:r/>
            <w:r>
              <w:rPr>
                <w:b w:val="0"/>
                <w:sz w:val="17"/>
              </w:rPr>
              <w:t>P1</w:t>
            </w:r>
          </w:p>
        </w:tc>
        <w:tc>
          <w:tcPr>
            <w:tcW w:type="dxa" w:w="7272"/>
            <w:vAlign w:val="center"/>
          </w:tcPr>
          <w:p>
            <w:pPr>
              <w:spacing w:after="20"/>
            </w:pPr>
            <w:r/>
            <w:r>
              <w:rPr>
                <w:b w:val="0"/>
                <w:sz w:val="17"/>
              </w:rPr>
              <w:t>Code execution must have a configured timeout and return a controlled timeout result when exceeded.</w:t>
            </w:r>
          </w:p>
        </w:tc>
      </w:tr>
      <w:tr>
        <w:tc>
          <w:tcPr>
            <w:tcW w:type="dxa" w:w="936"/>
            <w:vAlign w:val="center"/>
          </w:tcPr>
          <w:p>
            <w:pPr>
              <w:spacing w:after="20"/>
            </w:pPr>
            <w:r/>
            <w:r>
              <w:rPr>
                <w:b w:val="0"/>
                <w:sz w:val="17"/>
              </w:rPr>
              <w:t>NFR-011</w:t>
            </w:r>
          </w:p>
        </w:tc>
        <w:tc>
          <w:tcPr>
            <w:tcW w:type="dxa" w:w="1440"/>
            <w:vAlign w:val="center"/>
          </w:tcPr>
          <w:p>
            <w:pPr>
              <w:spacing w:after="20"/>
            </w:pPr>
            <w:r/>
            <w:r>
              <w:rPr>
                <w:b w:val="0"/>
                <w:sz w:val="17"/>
              </w:rPr>
              <w:t>Maintainability</w:t>
            </w:r>
          </w:p>
        </w:tc>
        <w:tc>
          <w:tcPr>
            <w:tcW w:type="dxa" w:w="792"/>
            <w:vAlign w:val="center"/>
          </w:tcPr>
          <w:p>
            <w:pPr>
              <w:spacing w:after="20"/>
            </w:pPr>
            <w:r/>
            <w:r>
              <w:rPr>
                <w:b w:val="0"/>
                <w:sz w:val="17"/>
              </w:rPr>
              <w:t>P0</w:t>
            </w:r>
          </w:p>
        </w:tc>
        <w:tc>
          <w:tcPr>
            <w:tcW w:type="dxa" w:w="7272"/>
            <w:vAlign w:val="center"/>
          </w:tcPr>
          <w:p>
            <w:pPr>
              <w:spacing w:after="20"/>
            </w:pPr>
            <w:r/>
            <w:r>
              <w:rPr>
                <w:b w:val="0"/>
                <w:sz w:val="17"/>
              </w:rPr>
              <w:t>Keep the backend as one modular application with separated responsibilities for API routes, assessment logic, data access, and code-runner integration.</w:t>
            </w:r>
          </w:p>
        </w:tc>
      </w:tr>
      <w:tr>
        <w:tc>
          <w:tcPr>
            <w:tcW w:type="dxa" w:w="936"/>
            <w:vAlign w:val="center"/>
          </w:tcPr>
          <w:p>
            <w:pPr>
              <w:spacing w:after="20"/>
            </w:pPr>
            <w:r/>
            <w:r>
              <w:rPr>
                <w:b w:val="0"/>
                <w:sz w:val="17"/>
              </w:rPr>
              <w:t>NFR-012</w:t>
            </w:r>
          </w:p>
        </w:tc>
        <w:tc>
          <w:tcPr>
            <w:tcW w:type="dxa" w:w="1440"/>
            <w:vAlign w:val="center"/>
          </w:tcPr>
          <w:p>
            <w:pPr>
              <w:spacing w:after="20"/>
            </w:pPr>
            <w:r/>
            <w:r>
              <w:rPr>
                <w:b w:val="0"/>
                <w:sz w:val="17"/>
              </w:rPr>
              <w:t>Testing</w:t>
            </w:r>
          </w:p>
        </w:tc>
        <w:tc>
          <w:tcPr>
            <w:tcW w:type="dxa" w:w="792"/>
            <w:vAlign w:val="center"/>
          </w:tcPr>
          <w:p>
            <w:pPr>
              <w:spacing w:after="20"/>
            </w:pPr>
            <w:r/>
            <w:r>
              <w:rPr>
                <w:b w:val="0"/>
                <w:sz w:val="17"/>
              </w:rPr>
              <w:t>P0</w:t>
            </w:r>
          </w:p>
        </w:tc>
        <w:tc>
          <w:tcPr>
            <w:tcW w:type="dxa" w:w="7272"/>
            <w:vAlign w:val="center"/>
          </w:tcPr>
          <w:p>
            <w:pPr>
              <w:spacing w:after="20"/>
            </w:pPr>
            <w:r/>
            <w:r>
              <w:rPr>
                <w:b w:val="0"/>
                <w:sz w:val="17"/>
              </w:rPr>
              <w:t>Critical business rules and authorization behavior must have automated tests; the main student journey must be tested end to end before demo acceptance.</w:t>
            </w:r>
          </w:p>
        </w:tc>
      </w:tr>
      <w:tr>
        <w:tc>
          <w:tcPr>
            <w:tcW w:type="dxa" w:w="936"/>
            <w:vAlign w:val="center"/>
          </w:tcPr>
          <w:p>
            <w:pPr>
              <w:spacing w:after="20"/>
            </w:pPr>
            <w:r/>
            <w:r>
              <w:rPr>
                <w:b w:val="0"/>
                <w:sz w:val="17"/>
              </w:rPr>
              <w:t>NFR-013</w:t>
            </w:r>
          </w:p>
        </w:tc>
        <w:tc>
          <w:tcPr>
            <w:tcW w:type="dxa" w:w="1440"/>
            <w:vAlign w:val="center"/>
          </w:tcPr>
          <w:p>
            <w:pPr>
              <w:spacing w:after="20"/>
            </w:pPr>
            <w:r/>
            <w:r>
              <w:rPr>
                <w:b w:val="0"/>
                <w:sz w:val="17"/>
              </w:rPr>
              <w:t>Observability</w:t>
            </w:r>
          </w:p>
        </w:tc>
        <w:tc>
          <w:tcPr>
            <w:tcW w:type="dxa" w:w="792"/>
            <w:vAlign w:val="center"/>
          </w:tcPr>
          <w:p>
            <w:pPr>
              <w:spacing w:after="20"/>
            </w:pPr>
            <w:r/>
            <w:r>
              <w:rPr>
                <w:b w:val="0"/>
                <w:sz w:val="17"/>
              </w:rPr>
              <w:t>P1</w:t>
            </w:r>
          </w:p>
        </w:tc>
        <w:tc>
          <w:tcPr>
            <w:tcW w:type="dxa" w:w="7272"/>
            <w:vAlign w:val="center"/>
          </w:tcPr>
          <w:p>
            <w:pPr>
              <w:spacing w:after="20"/>
            </w:pPr>
            <w:r/>
            <w:r>
              <w:rPr>
                <w:b w:val="0"/>
                <w:sz w:val="17"/>
              </w:rPr>
              <w:t>Record useful structured operational logs without logging secrets, full sensitive submissions unnecessarily, or hidden test data.</w:t>
            </w:r>
          </w:p>
        </w:tc>
      </w:tr>
      <w:tr>
        <w:tc>
          <w:tcPr>
            <w:tcW w:type="dxa" w:w="936"/>
            <w:vAlign w:val="center"/>
          </w:tcPr>
          <w:p>
            <w:pPr>
              <w:spacing w:after="20"/>
            </w:pPr>
            <w:r/>
            <w:r>
              <w:rPr>
                <w:b w:val="0"/>
                <w:sz w:val="17"/>
              </w:rPr>
              <w:t>NFR-014</w:t>
            </w:r>
          </w:p>
        </w:tc>
        <w:tc>
          <w:tcPr>
            <w:tcW w:type="dxa" w:w="1440"/>
            <w:vAlign w:val="center"/>
          </w:tcPr>
          <w:p>
            <w:pPr>
              <w:spacing w:after="20"/>
            </w:pPr>
            <w:r/>
            <w:r>
              <w:rPr>
                <w:b w:val="0"/>
                <w:sz w:val="17"/>
              </w:rPr>
              <w:t>Compatibility</w:t>
            </w:r>
          </w:p>
        </w:tc>
        <w:tc>
          <w:tcPr>
            <w:tcW w:type="dxa" w:w="792"/>
            <w:vAlign w:val="center"/>
          </w:tcPr>
          <w:p>
            <w:pPr>
              <w:spacing w:after="20"/>
            </w:pPr>
            <w:r/>
            <w:r>
              <w:rPr>
                <w:b w:val="0"/>
                <w:sz w:val="17"/>
              </w:rPr>
              <w:t>P1</w:t>
            </w:r>
          </w:p>
        </w:tc>
        <w:tc>
          <w:tcPr>
            <w:tcW w:type="dxa" w:w="7272"/>
            <w:vAlign w:val="center"/>
          </w:tcPr>
          <w:p>
            <w:pPr>
              <w:spacing w:after="20"/>
            </w:pPr>
            <w:r/>
            <w:r>
              <w:rPr>
                <w:b w:val="0"/>
                <w:sz w:val="17"/>
              </w:rPr>
              <w:t>Support current mainstream desktop browsers used for the demonstration.</w:t>
            </w:r>
          </w:p>
        </w:tc>
      </w:tr>
      <w:tr>
        <w:tc>
          <w:tcPr>
            <w:tcW w:type="dxa" w:w="936"/>
            <w:vAlign w:val="center"/>
          </w:tcPr>
          <w:p>
            <w:pPr>
              <w:spacing w:after="20"/>
            </w:pPr>
            <w:r/>
            <w:r>
              <w:rPr>
                <w:b w:val="0"/>
                <w:sz w:val="17"/>
              </w:rPr>
              <w:t>NFR-015</w:t>
            </w:r>
          </w:p>
        </w:tc>
        <w:tc>
          <w:tcPr>
            <w:tcW w:type="dxa" w:w="1440"/>
            <w:vAlign w:val="center"/>
          </w:tcPr>
          <w:p>
            <w:pPr>
              <w:spacing w:after="20"/>
            </w:pPr>
            <w:r/>
            <w:r>
              <w:rPr>
                <w:b w:val="0"/>
                <w:sz w:val="17"/>
              </w:rPr>
              <w:t>Privacy</w:t>
            </w:r>
          </w:p>
        </w:tc>
        <w:tc>
          <w:tcPr>
            <w:tcW w:type="dxa" w:w="792"/>
            <w:vAlign w:val="center"/>
          </w:tcPr>
          <w:p>
            <w:pPr>
              <w:spacing w:after="20"/>
            </w:pPr>
            <w:r/>
            <w:r>
              <w:rPr>
                <w:b w:val="0"/>
                <w:sz w:val="17"/>
              </w:rPr>
              <w:t>P0</w:t>
            </w:r>
          </w:p>
        </w:tc>
        <w:tc>
          <w:tcPr>
            <w:tcW w:type="dxa" w:w="7272"/>
            <w:vAlign w:val="center"/>
          </w:tcPr>
          <w:p>
            <w:pPr>
              <w:spacing w:after="20"/>
            </w:pPr>
            <w:r/>
            <w:r>
              <w:rPr>
                <w:b w:val="0"/>
                <w:sz w:val="17"/>
              </w:rPr>
              <w:t>Collect only the student data required for the learning journey; define access and retention rules before using real student records.</w:t>
            </w:r>
          </w:p>
        </w:tc>
      </w:tr>
    </w:tbl>
    <w:p/>
    <w:p>
      <w:pPr>
        <w:pStyle w:val="Heading1"/>
      </w:pPr>
      <w:r>
        <w:t>10. Security, Privacy, and Educational Integrity</w:t>
      </w:r>
    </w:p>
    <w:p>
      <w:pPr>
        <w:pStyle w:val="Heading2"/>
      </w:pPr>
      <w:r>
        <w:t>10.1 Code execution</w:t>
      </w:r>
    </w:p>
    <w:p>
      <w:pPr>
        <w:pStyle w:val="ListBullet"/>
        <w:spacing w:after="40"/>
      </w:pPr>
      <w:r>
        <w:t>Run student code in a separate sandbox or vetted execution service.</w:t>
      </w:r>
    </w:p>
    <w:p>
      <w:pPr>
        <w:pStyle w:val="ListBullet"/>
        <w:spacing w:after="40"/>
      </w:pPr>
      <w:r>
        <w:t>Apply strict time, memory, process, filesystem, and output limits.</w:t>
      </w:r>
    </w:p>
    <w:p>
      <w:pPr>
        <w:pStyle w:val="ListBullet"/>
        <w:spacing w:after="40"/>
      </w:pPr>
      <w:r>
        <w:t>Disable network access by default and prevent access to application credentials or host files.</w:t>
      </w:r>
    </w:p>
    <w:p>
      <w:pPr>
        <w:pStyle w:val="ListBullet"/>
        <w:spacing w:after="40"/>
      </w:pPr>
      <w:r>
        <w:t>Keep hidden tests and reference solutions on the server side.</w:t>
      </w:r>
    </w:p>
    <w:p>
      <w:pPr>
        <w:pStyle w:val="ListBullet"/>
        <w:spacing w:after="40"/>
      </w:pPr>
      <w:r>
        <w:t>Do not treat a sandbox infrastructure failure as a student's incorrect answer.</w:t>
      </w:r>
    </w:p>
    <w:p>
      <w:pPr>
        <w:pStyle w:val="ListBullet"/>
        <w:spacing w:after="40"/>
      </w:pPr>
      <w:r>
        <w:t>If a safe runner cannot be configured, disable arbitrary execution and use a constrained prepared demonstration instead.</w:t>
      </w:r>
    </w:p>
    <w:p>
      <w:pPr>
        <w:pStyle w:val="Heading2"/>
      </w:pPr>
      <w:r>
        <w:t>10.2 Authorization and privacy</w:t>
      </w:r>
    </w:p>
    <w:p>
      <w:pPr>
        <w:pStyle w:val="ListBullet"/>
        <w:spacing w:after="40"/>
      </w:pPr>
      <w:r>
        <w:t>Require authentication for student-specific and teacher-specific records.</w:t>
      </w:r>
    </w:p>
    <w:p>
      <w:pPr>
        <w:pStyle w:val="ListBullet"/>
        <w:spacing w:after="40"/>
      </w:pPr>
      <w:r>
        <w:t>Check authorization in the backend on every protected request; frontend route hiding is not sufficient.</w:t>
      </w:r>
    </w:p>
    <w:p>
      <w:pPr>
        <w:pStyle w:val="ListBullet"/>
        <w:spacing w:after="40"/>
      </w:pPr>
      <w:r>
        <w:t>Use least-privilege database credentials and avoid exposing direct database access to the browser.</w:t>
      </w:r>
    </w:p>
    <w:p>
      <w:pPr>
        <w:pStyle w:val="ListBullet"/>
        <w:spacing w:after="40"/>
      </w:pPr>
      <w:r>
        <w:t>Do not commit .env files or secrets to Git.</w:t>
      </w:r>
    </w:p>
    <w:p>
      <w:pPr>
        <w:pStyle w:val="ListBullet"/>
        <w:spacing w:after="40"/>
      </w:pPr>
      <w:r>
        <w:t>Use synthetic or test student data during development.</w:t>
      </w:r>
    </w:p>
    <w:p>
      <w:pPr>
        <w:pStyle w:val="ListBullet"/>
        <w:spacing w:after="40"/>
      </w:pPr>
      <w:r>
        <w:t>Set a reasonable data-retention and deletion policy before collecting real student information.</w:t>
      </w:r>
    </w:p>
    <w:p>
      <w:pPr>
        <w:pStyle w:val="Heading2"/>
      </w:pPr>
      <w:r>
        <w:t>10.3 Integrity principles</w:t>
      </w:r>
    </w:p>
    <w:p>
      <w:pPr>
        <w:pStyle w:val="ListBullet"/>
        <w:spacing w:after="40"/>
      </w:pPr>
      <w:r>
        <w:t>The MVP does not implement automated cheating detection.</w:t>
      </w:r>
    </w:p>
    <w:p>
      <w:pPr>
        <w:pStyle w:val="ListBullet"/>
        <w:spacing w:after="40"/>
      </w:pPr>
      <w:r>
        <w:t>A code result or explanation response is evidence about a particular attempt, not a definitive judgment about a student's character or intent.</w:t>
      </w:r>
    </w:p>
    <w:p>
      <w:pPr>
        <w:pStyle w:val="ListBullet"/>
        <w:spacing w:after="40"/>
      </w:pPr>
      <w:r>
        <w:t>Any later integrity signals must be reviewable by a teacher and must not independently trigger a cheating verdict.</w:t>
      </w:r>
    </w:p>
    <w:p>
      <w:pPr>
        <w:pStyle w:val="Heading1"/>
      </w:pPr>
      <w:r>
        <w:t>11. Error Handling and Recovery</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CFE2F3"/>
          </w:tcPr>
          <w:p>
            <w:pPr>
              <w:spacing w:after="20"/>
            </w:pPr>
            <w:r/>
            <w:r>
              <w:rPr>
                <w:b/>
                <w:sz w:val="17"/>
              </w:rPr>
              <w:t>Failure scenario</w:t>
            </w:r>
          </w:p>
        </w:tc>
        <w:tc>
          <w:tcPr>
            <w:tcW w:type="dxa" w:w="7344"/>
            <w:vAlign w:val="center"/>
            <w:shd w:fill="CFE2F3"/>
          </w:tcPr>
          <w:p>
            <w:pPr>
              <w:spacing w:after="20"/>
            </w:pPr>
            <w:r/>
            <w:r>
              <w:rPr>
                <w:b/>
                <w:sz w:val="17"/>
              </w:rPr>
              <w:t>Required behavior</w:t>
            </w:r>
          </w:p>
        </w:tc>
      </w:tr>
      <w:tr>
        <w:tc>
          <w:tcPr>
            <w:tcW w:type="dxa" w:w="3024"/>
            <w:vAlign w:val="center"/>
          </w:tcPr>
          <w:p>
            <w:pPr>
              <w:spacing w:after="20"/>
            </w:pPr>
            <w:r/>
            <w:r>
              <w:rPr>
                <w:b w:val="0"/>
                <w:sz w:val="17"/>
              </w:rPr>
              <w:t>Database unavailable</w:t>
            </w:r>
          </w:p>
        </w:tc>
        <w:tc>
          <w:tcPr>
            <w:tcW w:type="dxa" w:w="7344"/>
            <w:vAlign w:val="center"/>
          </w:tcPr>
          <w:p>
            <w:pPr>
              <w:spacing w:after="20"/>
            </w:pPr>
            <w:r/>
            <w:r>
              <w:rPr>
                <w:b w:val="0"/>
                <w:sz w:val="17"/>
              </w:rPr>
              <w:t>Health/database check fails clearly; API does not claim database success; operational details are logged safely.</w:t>
            </w:r>
          </w:p>
        </w:tc>
      </w:tr>
      <w:tr>
        <w:tc>
          <w:tcPr>
            <w:tcW w:type="dxa" w:w="3024"/>
            <w:vAlign w:val="center"/>
          </w:tcPr>
          <w:p>
            <w:pPr>
              <w:spacing w:after="20"/>
            </w:pPr>
            <w:r/>
            <w:r>
              <w:rPr>
                <w:b w:val="0"/>
                <w:sz w:val="17"/>
              </w:rPr>
              <w:t>Invalid request or missing required field</w:t>
            </w:r>
          </w:p>
        </w:tc>
        <w:tc>
          <w:tcPr>
            <w:tcW w:type="dxa" w:w="7344"/>
            <w:vAlign w:val="center"/>
          </w:tcPr>
          <w:p>
            <w:pPr>
              <w:spacing w:after="20"/>
            </w:pPr>
            <w:r/>
            <w:r>
              <w:rPr>
                <w:b w:val="0"/>
                <w:sz w:val="17"/>
              </w:rPr>
              <w:t>Return a validation error; do not create a malformed attempt or result.</w:t>
            </w:r>
          </w:p>
        </w:tc>
      </w:tr>
      <w:tr>
        <w:tc>
          <w:tcPr>
            <w:tcW w:type="dxa" w:w="3024"/>
            <w:vAlign w:val="center"/>
          </w:tcPr>
          <w:p>
            <w:pPr>
              <w:spacing w:after="20"/>
            </w:pPr>
            <w:r/>
            <w:r>
              <w:rPr>
                <w:b w:val="0"/>
                <w:sz w:val="17"/>
              </w:rPr>
              <w:t>Code runner unavailable</w:t>
            </w:r>
          </w:p>
        </w:tc>
        <w:tc>
          <w:tcPr>
            <w:tcW w:type="dxa" w:w="7344"/>
            <w:vAlign w:val="center"/>
          </w:tcPr>
          <w:p>
            <w:pPr>
              <w:spacing w:after="20"/>
            </w:pPr>
            <w:r/>
            <w:r>
              <w:rPr>
                <w:b w:val="0"/>
                <w:sz w:val="17"/>
              </w:rPr>
              <w:t>Mark execution as unavailable/failed infrastructure; preserve the submission if safe; permit a controlled retry.</w:t>
            </w:r>
          </w:p>
        </w:tc>
      </w:tr>
      <w:tr>
        <w:tc>
          <w:tcPr>
            <w:tcW w:type="dxa" w:w="3024"/>
            <w:vAlign w:val="center"/>
          </w:tcPr>
          <w:p>
            <w:pPr>
              <w:spacing w:after="20"/>
            </w:pPr>
            <w:r/>
            <w:r>
              <w:rPr>
                <w:b w:val="0"/>
                <w:sz w:val="17"/>
              </w:rPr>
              <w:t>Student code syntax/runtime error</w:t>
            </w:r>
          </w:p>
        </w:tc>
        <w:tc>
          <w:tcPr>
            <w:tcW w:type="dxa" w:w="7344"/>
            <w:vAlign w:val="center"/>
          </w:tcPr>
          <w:p>
            <w:pPr>
              <w:spacing w:after="20"/>
            </w:pPr>
            <w:r/>
            <w:r>
              <w:rPr>
                <w:b w:val="0"/>
                <w:sz w:val="17"/>
              </w:rPr>
              <w:t>Return a structured execution result and appropriate bounded diagnostic; do not crash the API.</w:t>
            </w:r>
          </w:p>
        </w:tc>
      </w:tr>
      <w:tr>
        <w:tc>
          <w:tcPr>
            <w:tcW w:type="dxa" w:w="3024"/>
            <w:vAlign w:val="center"/>
          </w:tcPr>
          <w:p>
            <w:pPr>
              <w:spacing w:after="20"/>
            </w:pPr>
            <w:r/>
            <w:r>
              <w:rPr>
                <w:b w:val="0"/>
                <w:sz w:val="17"/>
              </w:rPr>
              <w:t>Execution timeout/resource limit</w:t>
            </w:r>
          </w:p>
        </w:tc>
        <w:tc>
          <w:tcPr>
            <w:tcW w:type="dxa" w:w="7344"/>
            <w:vAlign w:val="center"/>
          </w:tcPr>
          <w:p>
            <w:pPr>
              <w:spacing w:after="20"/>
            </w:pPr>
            <w:r/>
            <w:r>
              <w:rPr>
                <w:b w:val="0"/>
                <w:sz w:val="17"/>
              </w:rPr>
              <w:t>Terminate the run, record the corresponding status, and return controlled feedback.</w:t>
            </w:r>
          </w:p>
        </w:tc>
      </w:tr>
      <w:tr>
        <w:tc>
          <w:tcPr>
            <w:tcW w:type="dxa" w:w="3024"/>
            <w:vAlign w:val="center"/>
          </w:tcPr>
          <w:p>
            <w:pPr>
              <w:spacing w:after="20"/>
            </w:pPr>
            <w:r/>
            <w:r>
              <w:rPr>
                <w:b w:val="0"/>
                <w:sz w:val="17"/>
              </w:rPr>
              <w:t>Duplicate submission/retry</w:t>
            </w:r>
          </w:p>
        </w:tc>
        <w:tc>
          <w:tcPr>
            <w:tcW w:type="dxa" w:w="7344"/>
            <w:vAlign w:val="center"/>
          </w:tcPr>
          <w:p>
            <w:pPr>
              <w:spacing w:after="20"/>
            </w:pPr>
            <w:r/>
            <w:r>
              <w:rPr>
                <w:b w:val="0"/>
                <w:sz w:val="17"/>
              </w:rPr>
              <w:t>Use attempt/submission identifiers or idempotent handling to prevent inconsistent duplicate records.</w:t>
            </w:r>
          </w:p>
        </w:tc>
      </w:tr>
      <w:tr>
        <w:tc>
          <w:tcPr>
            <w:tcW w:type="dxa" w:w="3024"/>
            <w:vAlign w:val="center"/>
          </w:tcPr>
          <w:p>
            <w:pPr>
              <w:spacing w:after="20"/>
            </w:pPr>
            <w:r/>
            <w:r>
              <w:rPr>
                <w:b w:val="0"/>
                <w:sz w:val="17"/>
              </w:rPr>
              <w:t>No suitable next question</w:t>
            </w:r>
          </w:p>
        </w:tc>
        <w:tc>
          <w:tcPr>
            <w:tcW w:type="dxa" w:w="7344"/>
            <w:vAlign w:val="center"/>
          </w:tcPr>
          <w:p>
            <w:pPr>
              <w:spacing w:after="20"/>
            </w:pPr>
            <w:r/>
            <w:r>
              <w:rPr>
                <w:b w:val="0"/>
                <w:sz w:val="17"/>
              </w:rPr>
              <w:t>Show a neutral completion/review message and record that content coverage is missing.</w:t>
            </w:r>
          </w:p>
        </w:tc>
      </w:tr>
      <w:tr>
        <w:tc>
          <w:tcPr>
            <w:tcW w:type="dxa" w:w="3024"/>
            <w:vAlign w:val="center"/>
          </w:tcPr>
          <w:p>
            <w:pPr>
              <w:spacing w:after="20"/>
            </w:pPr>
            <w:r/>
            <w:r>
              <w:rPr>
                <w:b w:val="0"/>
                <w:sz w:val="17"/>
              </w:rPr>
              <w:t>Recommendation rules receive incomplete evidence</w:t>
            </w:r>
          </w:p>
        </w:tc>
        <w:tc>
          <w:tcPr>
            <w:tcW w:type="dxa" w:w="7344"/>
            <w:vAlign w:val="center"/>
          </w:tcPr>
          <w:p>
            <w:pPr>
              <w:spacing w:after="20"/>
            </w:pPr>
            <w:r/>
            <w:r>
              <w:rPr>
                <w:b w:val="0"/>
                <w:sz w:val="17"/>
              </w:rPr>
              <w:t>Avoid unsupported mastery claims; recommend a review activity or request missing evidence.</w:t>
            </w:r>
          </w:p>
        </w:tc>
      </w:tr>
      <w:tr>
        <w:tc>
          <w:tcPr>
            <w:tcW w:type="dxa" w:w="3024"/>
            <w:vAlign w:val="center"/>
          </w:tcPr>
          <w:p>
            <w:pPr>
              <w:spacing w:after="20"/>
            </w:pPr>
            <w:r/>
            <w:r>
              <w:rPr>
                <w:b w:val="0"/>
                <w:sz w:val="17"/>
              </w:rPr>
              <w:t>Unauthorized request</w:t>
            </w:r>
          </w:p>
        </w:tc>
        <w:tc>
          <w:tcPr>
            <w:tcW w:type="dxa" w:w="7344"/>
            <w:vAlign w:val="center"/>
          </w:tcPr>
          <w:p>
            <w:pPr>
              <w:spacing w:after="20"/>
            </w:pPr>
            <w:r/>
            <w:r>
              <w:rPr>
                <w:b w:val="0"/>
                <w:sz w:val="17"/>
              </w:rPr>
              <w:t>Deny access and avoid revealing whether another student's record exists.</w:t>
            </w:r>
          </w:p>
        </w:tc>
      </w:tr>
    </w:tbl>
    <w:p/>
    <w:p>
      <w:pPr>
        <w:pStyle w:val="Heading1"/>
      </w:pPr>
      <w:r>
        <w:t>12. User Interface Requirements</w:t>
      </w:r>
    </w:p>
    <w:p>
      <w:pPr>
        <w:pStyle w:val="Heading2"/>
      </w:pPr>
      <w:r>
        <w:t>12.1 Student screens</w:t>
      </w:r>
    </w:p>
    <w:p>
      <w:pPr>
        <w:pStyle w:val="ListBullet"/>
        <w:spacing w:after="40"/>
      </w:pPr>
      <w:r>
        <w:t>Module introduction with a clear start action.</w:t>
      </w:r>
    </w:p>
    <w:p>
      <w:pPr>
        <w:pStyle w:val="ListBullet"/>
        <w:spacing w:after="40"/>
      </w:pPr>
      <w:r>
        <w:t>Diagnostic question screen with progress and answer submission.</w:t>
      </w:r>
    </w:p>
    <w:p>
      <w:pPr>
        <w:pStyle w:val="ListBullet"/>
        <w:spacing w:after="40"/>
      </w:pPr>
      <w:r>
        <w:t>Coding task screen with problem statement, code editor, submit action, and execution status.</w:t>
      </w:r>
    </w:p>
    <w:p>
      <w:pPr>
        <w:pStyle w:val="ListBullet"/>
        <w:spacing w:after="40"/>
      </w:pPr>
      <w:r>
        <w:t>Two explanation-question prompts.</w:t>
      </w:r>
    </w:p>
    <w:p>
      <w:pPr>
        <w:pStyle w:val="ListBullet"/>
        <w:spacing w:after="40"/>
      </w:pPr>
      <w:r>
        <w:t>Results screen showing what happened, a concise explanation of the likely gap, and the next recommended activity.</w:t>
      </w:r>
    </w:p>
    <w:p>
      <w:pPr>
        <w:pStyle w:val="ListBullet"/>
        <w:spacing w:after="40"/>
      </w:pPr>
      <w:r>
        <w:t>Clear loading, empty, validation-error, timeout, and service-error states.</w:t>
      </w:r>
    </w:p>
    <w:p>
      <w:pPr>
        <w:pStyle w:val="Heading2"/>
      </w:pPr>
      <w:r>
        <w:t>12.2 Teacher screens</w:t>
      </w:r>
    </w:p>
    <w:p>
      <w:pPr>
        <w:pStyle w:val="ListBullet"/>
        <w:spacing w:after="40"/>
      </w:pPr>
      <w:r>
        <w:t>A list of student attempts within the teacher's authorized scope.</w:t>
      </w:r>
    </w:p>
    <w:p>
      <w:pPr>
        <w:pStyle w:val="ListBullet"/>
        <w:spacing w:after="40"/>
      </w:pPr>
      <w:r>
        <w:t>Attempt details including diagnostic responses, code result, explanation responses, and recommendation.</w:t>
      </w:r>
    </w:p>
    <w:p>
      <w:pPr>
        <w:pStyle w:val="ListBullet"/>
        <w:spacing w:after="40"/>
      </w:pPr>
      <w:r>
        <w:t>A concise reason for the recommended next step.</w:t>
      </w:r>
    </w:p>
    <w:p>
      <w:pPr>
        <w:pStyle w:val="ListBullet"/>
        <w:spacing w:after="40"/>
      </w:pPr>
      <w:r>
        <w:t>A clear indication when evidence is missing or the recommendation is uncertain.</w:t>
      </w:r>
    </w:p>
    <w:p>
      <w:pPr>
        <w:pStyle w:val="Heading2"/>
      </w:pPr>
      <w:r>
        <w:t>12.3 Design constraints</w:t>
      </w:r>
    </w:p>
    <w:p>
      <w:r>
        <w:t>Use a simple, consistent interface. Advanced dashboards, animations, complex mind maps, and extensive design-system work are not required for MVP acceptance.</w:t>
      </w:r>
    </w:p>
    <w:p>
      <w:pPr>
        <w:pStyle w:val="Heading1"/>
      </w:pPr>
      <w:r>
        <w:t>13. Acceptance Criteria and MVP Test Scenarios</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CFE2F3"/>
          </w:tcPr>
          <w:p>
            <w:pPr>
              <w:spacing w:after="20"/>
            </w:pPr>
            <w:r/>
            <w:r>
              <w:rPr>
                <w:b/>
                <w:sz w:val="17"/>
              </w:rPr>
              <w:t>ID</w:t>
            </w:r>
          </w:p>
        </w:tc>
        <w:tc>
          <w:tcPr>
            <w:tcW w:type="dxa" w:w="2088"/>
            <w:vAlign w:val="center"/>
            <w:shd w:fill="CFE2F3"/>
          </w:tcPr>
          <w:p>
            <w:pPr>
              <w:spacing w:after="20"/>
            </w:pPr>
            <w:r/>
            <w:r>
              <w:rPr>
                <w:b/>
                <w:sz w:val="17"/>
              </w:rPr>
              <w:t>Scenario</w:t>
            </w:r>
          </w:p>
        </w:tc>
        <w:tc>
          <w:tcPr>
            <w:tcW w:type="dxa" w:w="7272"/>
            <w:vAlign w:val="center"/>
            <w:shd w:fill="CFE2F3"/>
          </w:tcPr>
          <w:p>
            <w:pPr>
              <w:spacing w:after="20"/>
            </w:pPr>
            <w:r/>
            <w:r>
              <w:rPr>
                <w:b/>
                <w:sz w:val="17"/>
              </w:rPr>
              <w:t>Acceptance condition</w:t>
            </w:r>
          </w:p>
        </w:tc>
      </w:tr>
      <w:tr>
        <w:tc>
          <w:tcPr>
            <w:tcW w:type="dxa" w:w="1008"/>
            <w:vAlign w:val="center"/>
          </w:tcPr>
          <w:p>
            <w:pPr>
              <w:spacing w:after="20"/>
            </w:pPr>
            <w:r/>
            <w:r>
              <w:rPr>
                <w:b w:val="0"/>
                <w:sz w:val="17"/>
              </w:rPr>
              <w:t>AC-01</w:t>
            </w:r>
          </w:p>
        </w:tc>
        <w:tc>
          <w:tcPr>
            <w:tcW w:type="dxa" w:w="2088"/>
            <w:vAlign w:val="center"/>
          </w:tcPr>
          <w:p>
            <w:pPr>
              <w:spacing w:after="20"/>
            </w:pPr>
            <w:r/>
            <w:r>
              <w:rPr>
                <w:b w:val="0"/>
                <w:sz w:val="17"/>
              </w:rPr>
              <w:t>Module access</w:t>
            </w:r>
          </w:p>
        </w:tc>
        <w:tc>
          <w:tcPr>
            <w:tcW w:type="dxa" w:w="7272"/>
            <w:vAlign w:val="center"/>
          </w:tcPr>
          <w:p>
            <w:pPr>
              <w:spacing w:after="20"/>
            </w:pPr>
            <w:r/>
            <w:r>
              <w:rPr>
                <w:b w:val="0"/>
                <w:sz w:val="17"/>
              </w:rPr>
              <w:t>An authorized student can open the configured Python module and see its approved diagnostic questions.</w:t>
            </w:r>
          </w:p>
        </w:tc>
      </w:tr>
      <w:tr>
        <w:tc>
          <w:tcPr>
            <w:tcW w:type="dxa" w:w="1008"/>
            <w:vAlign w:val="center"/>
          </w:tcPr>
          <w:p>
            <w:pPr>
              <w:spacing w:after="20"/>
            </w:pPr>
            <w:r/>
            <w:r>
              <w:rPr>
                <w:b w:val="0"/>
                <w:sz w:val="17"/>
              </w:rPr>
              <w:t>AC-02</w:t>
            </w:r>
          </w:p>
        </w:tc>
        <w:tc>
          <w:tcPr>
            <w:tcW w:type="dxa" w:w="2088"/>
            <w:vAlign w:val="center"/>
          </w:tcPr>
          <w:p>
            <w:pPr>
              <w:spacing w:after="20"/>
            </w:pPr>
            <w:r/>
            <w:r>
              <w:rPr>
                <w:b w:val="0"/>
                <w:sz w:val="17"/>
              </w:rPr>
              <w:t>Diagnostic persistence</w:t>
            </w:r>
          </w:p>
        </w:tc>
        <w:tc>
          <w:tcPr>
            <w:tcW w:type="dxa" w:w="7272"/>
            <w:vAlign w:val="center"/>
          </w:tcPr>
          <w:p>
            <w:pPr>
              <w:spacing w:after="20"/>
            </w:pPr>
            <w:r/>
            <w:r>
              <w:rPr>
                <w:b w:val="0"/>
                <w:sz w:val="17"/>
              </w:rPr>
              <w:t>Submitting diagnostic answers creates retrievable records linked to the correct student and attempt.</w:t>
            </w:r>
          </w:p>
        </w:tc>
      </w:tr>
      <w:tr>
        <w:tc>
          <w:tcPr>
            <w:tcW w:type="dxa" w:w="1008"/>
            <w:vAlign w:val="center"/>
          </w:tcPr>
          <w:p>
            <w:pPr>
              <w:spacing w:after="20"/>
            </w:pPr>
            <w:r/>
            <w:r>
              <w:rPr>
                <w:b w:val="0"/>
                <w:sz w:val="17"/>
              </w:rPr>
              <w:t>AC-03</w:t>
            </w:r>
          </w:p>
        </w:tc>
        <w:tc>
          <w:tcPr>
            <w:tcW w:type="dxa" w:w="2088"/>
            <w:vAlign w:val="center"/>
          </w:tcPr>
          <w:p>
            <w:pPr>
              <w:spacing w:after="20"/>
            </w:pPr>
            <w:r/>
            <w:r>
              <w:rPr>
                <w:b w:val="0"/>
                <w:sz w:val="17"/>
              </w:rPr>
              <w:t>Code correctness</w:t>
            </w:r>
          </w:p>
        </w:tc>
        <w:tc>
          <w:tcPr>
            <w:tcW w:type="dxa" w:w="7272"/>
            <w:vAlign w:val="center"/>
          </w:tcPr>
          <w:p>
            <w:pPr>
              <w:spacing w:after="20"/>
            </w:pPr>
            <w:r/>
            <w:r>
              <w:rPr>
                <w:b w:val="0"/>
                <w:sz w:val="17"/>
              </w:rPr>
              <w:t>A known passing solution passes the configured tests; a known failing solution fails them.</w:t>
            </w:r>
          </w:p>
        </w:tc>
      </w:tr>
      <w:tr>
        <w:tc>
          <w:tcPr>
            <w:tcW w:type="dxa" w:w="1008"/>
            <w:vAlign w:val="center"/>
          </w:tcPr>
          <w:p>
            <w:pPr>
              <w:spacing w:after="20"/>
            </w:pPr>
            <w:r/>
            <w:r>
              <w:rPr>
                <w:b w:val="0"/>
                <w:sz w:val="17"/>
              </w:rPr>
              <w:t>AC-04</w:t>
            </w:r>
          </w:p>
        </w:tc>
        <w:tc>
          <w:tcPr>
            <w:tcW w:type="dxa" w:w="2088"/>
            <w:vAlign w:val="center"/>
          </w:tcPr>
          <w:p>
            <w:pPr>
              <w:spacing w:after="20"/>
            </w:pPr>
            <w:r/>
            <w:r>
              <w:rPr>
                <w:b w:val="0"/>
                <w:sz w:val="17"/>
              </w:rPr>
              <w:t>Execution safety</w:t>
            </w:r>
          </w:p>
        </w:tc>
        <w:tc>
          <w:tcPr>
            <w:tcW w:type="dxa" w:w="7272"/>
            <w:vAlign w:val="center"/>
          </w:tcPr>
          <w:p>
            <w:pPr>
              <w:spacing w:after="20"/>
            </w:pPr>
            <w:r/>
            <w:r>
              <w:rPr>
                <w:b w:val="0"/>
                <w:sz w:val="17"/>
              </w:rPr>
              <w:t>Timeout and resource-limit cases return controlled statuses; submitted code does not execute inside the API process.</w:t>
            </w:r>
          </w:p>
        </w:tc>
      </w:tr>
      <w:tr>
        <w:tc>
          <w:tcPr>
            <w:tcW w:type="dxa" w:w="1008"/>
            <w:vAlign w:val="center"/>
          </w:tcPr>
          <w:p>
            <w:pPr>
              <w:spacing w:after="20"/>
            </w:pPr>
            <w:r/>
            <w:r>
              <w:rPr>
                <w:b w:val="0"/>
                <w:sz w:val="17"/>
              </w:rPr>
              <w:t>AC-05</w:t>
            </w:r>
          </w:p>
        </w:tc>
        <w:tc>
          <w:tcPr>
            <w:tcW w:type="dxa" w:w="2088"/>
            <w:vAlign w:val="center"/>
          </w:tcPr>
          <w:p>
            <w:pPr>
              <w:spacing w:after="20"/>
            </w:pPr>
            <w:r/>
            <w:r>
              <w:rPr>
                <w:b w:val="0"/>
                <w:sz w:val="17"/>
              </w:rPr>
              <w:t>Explanation capture</w:t>
            </w:r>
          </w:p>
        </w:tc>
        <w:tc>
          <w:tcPr>
            <w:tcW w:type="dxa" w:w="7272"/>
            <w:vAlign w:val="center"/>
          </w:tcPr>
          <w:p>
            <w:pPr>
              <w:spacing w:after="20"/>
            </w:pPr>
            <w:r/>
            <w:r>
              <w:rPr>
                <w:b w:val="0"/>
                <w:sz w:val="17"/>
              </w:rPr>
              <w:t>Both explanation responses are saved and linked to the same attempt.</w:t>
            </w:r>
          </w:p>
        </w:tc>
      </w:tr>
      <w:tr>
        <w:tc>
          <w:tcPr>
            <w:tcW w:type="dxa" w:w="1008"/>
            <w:vAlign w:val="center"/>
          </w:tcPr>
          <w:p>
            <w:pPr>
              <w:spacing w:after="20"/>
            </w:pPr>
            <w:r/>
            <w:r>
              <w:rPr>
                <w:b w:val="0"/>
                <w:sz w:val="17"/>
              </w:rPr>
              <w:t>AC-06</w:t>
            </w:r>
          </w:p>
        </w:tc>
        <w:tc>
          <w:tcPr>
            <w:tcW w:type="dxa" w:w="2088"/>
            <w:vAlign w:val="center"/>
          </w:tcPr>
          <w:p>
            <w:pPr>
              <w:spacing w:after="20"/>
            </w:pPr>
            <w:r/>
            <w:r>
              <w:rPr>
                <w:b w:val="0"/>
                <w:sz w:val="17"/>
              </w:rPr>
              <w:t>Adaptive decision</w:t>
            </w:r>
          </w:p>
        </w:tc>
        <w:tc>
          <w:tcPr>
            <w:tcW w:type="dxa" w:w="7272"/>
            <w:vAlign w:val="center"/>
          </w:tcPr>
          <w:p>
            <w:pPr>
              <w:spacing w:after="20"/>
            </w:pPr>
            <w:r/>
            <w:r>
              <w:rPr>
                <w:b w:val="0"/>
                <w:sz w:val="17"/>
              </w:rPr>
              <w:t>Given defined test evidence, the rule engine selects the expected configured next activity and records the reason.</w:t>
            </w:r>
          </w:p>
        </w:tc>
      </w:tr>
      <w:tr>
        <w:tc>
          <w:tcPr>
            <w:tcW w:type="dxa" w:w="1008"/>
            <w:vAlign w:val="center"/>
          </w:tcPr>
          <w:p>
            <w:pPr>
              <w:spacing w:after="20"/>
            </w:pPr>
            <w:r/>
            <w:r>
              <w:rPr>
                <w:b w:val="0"/>
                <w:sz w:val="17"/>
              </w:rPr>
              <w:t>AC-07</w:t>
            </w:r>
          </w:p>
        </w:tc>
        <w:tc>
          <w:tcPr>
            <w:tcW w:type="dxa" w:w="2088"/>
            <w:vAlign w:val="center"/>
          </w:tcPr>
          <w:p>
            <w:pPr>
              <w:spacing w:after="20"/>
            </w:pPr>
            <w:r/>
            <w:r>
              <w:rPr>
                <w:b w:val="0"/>
                <w:sz w:val="17"/>
              </w:rPr>
              <w:t>Different evidence</w:t>
            </w:r>
          </w:p>
        </w:tc>
        <w:tc>
          <w:tcPr>
            <w:tcW w:type="dxa" w:w="7272"/>
            <w:vAlign w:val="center"/>
          </w:tcPr>
          <w:p>
            <w:pPr>
              <w:spacing w:after="20"/>
            </w:pPr>
            <w:r/>
            <w:r>
              <w:rPr>
                <w:b w:val="0"/>
                <w:sz w:val="17"/>
              </w:rPr>
              <w:t>Two seeded students with different evidence receive different recommendations when the rule set specifies different outcomes.</w:t>
            </w:r>
          </w:p>
        </w:tc>
      </w:tr>
      <w:tr>
        <w:tc>
          <w:tcPr>
            <w:tcW w:type="dxa" w:w="1008"/>
            <w:vAlign w:val="center"/>
          </w:tcPr>
          <w:p>
            <w:pPr>
              <w:spacing w:after="20"/>
            </w:pPr>
            <w:r/>
            <w:r>
              <w:rPr>
                <w:b w:val="0"/>
                <w:sz w:val="17"/>
              </w:rPr>
              <w:t>AC-08</w:t>
            </w:r>
          </w:p>
        </w:tc>
        <w:tc>
          <w:tcPr>
            <w:tcW w:type="dxa" w:w="2088"/>
            <w:vAlign w:val="center"/>
          </w:tcPr>
          <w:p>
            <w:pPr>
              <w:spacing w:after="20"/>
            </w:pPr>
            <w:r/>
            <w:r>
              <w:rPr>
                <w:b w:val="0"/>
                <w:sz w:val="17"/>
              </w:rPr>
              <w:t>Teacher review</w:t>
            </w:r>
          </w:p>
        </w:tc>
        <w:tc>
          <w:tcPr>
            <w:tcW w:type="dxa" w:w="7272"/>
            <w:vAlign w:val="center"/>
          </w:tcPr>
          <w:p>
            <w:pPr>
              <w:spacing w:after="20"/>
            </w:pPr>
            <w:r/>
            <w:r>
              <w:rPr>
                <w:b w:val="0"/>
                <w:sz w:val="17"/>
              </w:rPr>
              <w:t>An authorized teacher can see the attempt evidence and recommendation for a student in scope.</w:t>
            </w:r>
          </w:p>
        </w:tc>
      </w:tr>
      <w:tr>
        <w:tc>
          <w:tcPr>
            <w:tcW w:type="dxa" w:w="1008"/>
            <w:vAlign w:val="center"/>
          </w:tcPr>
          <w:p>
            <w:pPr>
              <w:spacing w:after="20"/>
            </w:pPr>
            <w:r/>
            <w:r>
              <w:rPr>
                <w:b w:val="0"/>
                <w:sz w:val="17"/>
              </w:rPr>
              <w:t>AC-09</w:t>
            </w:r>
          </w:p>
        </w:tc>
        <w:tc>
          <w:tcPr>
            <w:tcW w:type="dxa" w:w="2088"/>
            <w:vAlign w:val="center"/>
          </w:tcPr>
          <w:p>
            <w:pPr>
              <w:spacing w:after="20"/>
            </w:pPr>
            <w:r/>
            <w:r>
              <w:rPr>
                <w:b w:val="0"/>
                <w:sz w:val="17"/>
              </w:rPr>
              <w:t>Access control</w:t>
            </w:r>
          </w:p>
        </w:tc>
        <w:tc>
          <w:tcPr>
            <w:tcW w:type="dxa" w:w="7272"/>
            <w:vAlign w:val="center"/>
          </w:tcPr>
          <w:p>
            <w:pPr>
              <w:spacing w:after="20"/>
            </w:pPr>
            <w:r/>
            <w:r>
              <w:rPr>
                <w:b w:val="0"/>
                <w:sz w:val="17"/>
              </w:rPr>
              <w:t>A student cannot retrieve another student's attempt by changing an identifier in a request.</w:t>
            </w:r>
          </w:p>
        </w:tc>
      </w:tr>
      <w:tr>
        <w:tc>
          <w:tcPr>
            <w:tcW w:type="dxa" w:w="1008"/>
            <w:vAlign w:val="center"/>
          </w:tcPr>
          <w:p>
            <w:pPr>
              <w:spacing w:after="20"/>
            </w:pPr>
            <w:r/>
            <w:r>
              <w:rPr>
                <w:b w:val="0"/>
                <w:sz w:val="17"/>
              </w:rPr>
              <w:t>AC-10</w:t>
            </w:r>
          </w:p>
        </w:tc>
        <w:tc>
          <w:tcPr>
            <w:tcW w:type="dxa" w:w="2088"/>
            <w:vAlign w:val="center"/>
          </w:tcPr>
          <w:p>
            <w:pPr>
              <w:spacing w:after="20"/>
            </w:pPr>
            <w:r/>
            <w:r>
              <w:rPr>
                <w:b w:val="0"/>
                <w:sz w:val="17"/>
              </w:rPr>
              <w:t>Failure distinction</w:t>
            </w:r>
          </w:p>
        </w:tc>
        <w:tc>
          <w:tcPr>
            <w:tcW w:type="dxa" w:w="7272"/>
            <w:vAlign w:val="center"/>
          </w:tcPr>
          <w:p>
            <w:pPr>
              <w:spacing w:after="20"/>
            </w:pPr>
            <w:r/>
            <w:r>
              <w:rPr>
                <w:b w:val="0"/>
                <w:sz w:val="17"/>
              </w:rPr>
              <w:t>A runner outage is not stored as a normal incorrect answer.</w:t>
            </w:r>
          </w:p>
        </w:tc>
      </w:tr>
      <w:tr>
        <w:tc>
          <w:tcPr>
            <w:tcW w:type="dxa" w:w="1008"/>
            <w:vAlign w:val="center"/>
          </w:tcPr>
          <w:p>
            <w:pPr>
              <w:spacing w:after="20"/>
            </w:pPr>
            <w:r/>
            <w:r>
              <w:rPr>
                <w:b w:val="0"/>
                <w:sz w:val="17"/>
              </w:rPr>
              <w:t>AC-11</w:t>
            </w:r>
          </w:p>
        </w:tc>
        <w:tc>
          <w:tcPr>
            <w:tcW w:type="dxa" w:w="2088"/>
            <w:vAlign w:val="center"/>
          </w:tcPr>
          <w:p>
            <w:pPr>
              <w:spacing w:after="20"/>
            </w:pPr>
            <w:r/>
            <w:r>
              <w:rPr>
                <w:b w:val="0"/>
                <w:sz w:val="17"/>
              </w:rPr>
              <w:t>No follow-up available</w:t>
            </w:r>
          </w:p>
        </w:tc>
        <w:tc>
          <w:tcPr>
            <w:tcW w:type="dxa" w:w="7272"/>
            <w:vAlign w:val="center"/>
          </w:tcPr>
          <w:p>
            <w:pPr>
              <w:spacing w:after="20"/>
            </w:pPr>
            <w:r/>
            <w:r>
              <w:rPr>
                <w:b w:val="0"/>
                <w:sz w:val="17"/>
              </w:rPr>
              <w:t>The system handles missing suitable content without crashing or inventing a question.</w:t>
            </w:r>
          </w:p>
        </w:tc>
      </w:tr>
      <w:tr>
        <w:tc>
          <w:tcPr>
            <w:tcW w:type="dxa" w:w="1008"/>
            <w:vAlign w:val="center"/>
          </w:tcPr>
          <w:p>
            <w:pPr>
              <w:spacing w:after="20"/>
            </w:pPr>
            <w:r/>
            <w:r>
              <w:rPr>
                <w:b w:val="0"/>
                <w:sz w:val="17"/>
              </w:rPr>
              <w:t>AC-12</w:t>
            </w:r>
          </w:p>
        </w:tc>
        <w:tc>
          <w:tcPr>
            <w:tcW w:type="dxa" w:w="2088"/>
            <w:vAlign w:val="center"/>
          </w:tcPr>
          <w:p>
            <w:pPr>
              <w:spacing w:after="20"/>
            </w:pPr>
            <w:r/>
            <w:r>
              <w:rPr>
                <w:b w:val="0"/>
                <w:sz w:val="17"/>
              </w:rPr>
              <w:t>End-to-end journey</w:t>
            </w:r>
          </w:p>
        </w:tc>
        <w:tc>
          <w:tcPr>
            <w:tcW w:type="dxa" w:w="7272"/>
            <w:vAlign w:val="center"/>
          </w:tcPr>
          <w:p>
            <w:pPr>
              <w:spacing w:after="20"/>
            </w:pPr>
            <w:r/>
            <w:r>
              <w:rPr>
                <w:b w:val="0"/>
                <w:sz w:val="17"/>
              </w:rPr>
              <w:t>A student completes the journey from module start through recommendation without manual database edits.</w:t>
            </w:r>
          </w:p>
        </w:tc>
      </w:tr>
    </w:tbl>
    <w:p/>
    <w:p>
      <w:pPr>
        <w:pStyle w:val="Heading1"/>
      </w:pPr>
      <w:r>
        <w:t>14. Implementation Milestones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CFE2F3"/>
          </w:tcPr>
          <w:p>
            <w:pPr>
              <w:spacing w:after="20"/>
            </w:pPr>
            <w:r/>
            <w:r>
              <w:rPr>
                <w:b/>
                <w:sz w:val="17"/>
              </w:rPr>
              <w:t>Milestone</w:t>
            </w:r>
          </w:p>
        </w:tc>
        <w:tc>
          <w:tcPr>
            <w:tcW w:type="dxa" w:w="4536"/>
            <w:vAlign w:val="center"/>
            <w:shd w:fill="CFE2F3"/>
          </w:tcPr>
          <w:p>
            <w:pPr>
              <w:spacing w:after="20"/>
            </w:pPr>
            <w:r/>
            <w:r>
              <w:rPr>
                <w:b/>
                <w:sz w:val="17"/>
              </w:rPr>
              <w:t>Work</w:t>
            </w:r>
          </w:p>
        </w:tc>
        <w:tc>
          <w:tcPr>
            <w:tcW w:type="dxa" w:w="3600"/>
            <w:vAlign w:val="center"/>
            <w:shd w:fill="CFE2F3"/>
          </w:tcPr>
          <w:p>
            <w:pPr>
              <w:spacing w:after="20"/>
            </w:pPr>
            <w:r/>
            <w:r>
              <w:rPr>
                <w:b/>
                <w:sz w:val="17"/>
              </w:rPr>
              <w:t>Exit criteria</w:t>
            </w:r>
          </w:p>
        </w:tc>
      </w:tr>
      <w:tr>
        <w:tc>
          <w:tcPr>
            <w:tcW w:type="dxa" w:w="2232"/>
            <w:vAlign w:val="center"/>
          </w:tcPr>
          <w:p>
            <w:pPr>
              <w:spacing w:after="20"/>
            </w:pPr>
            <w:r/>
            <w:r>
              <w:rPr>
                <w:b w:val="0"/>
                <w:sz w:val="17"/>
              </w:rPr>
              <w:t>M0 — Foundation verification</w:t>
            </w:r>
          </w:p>
        </w:tc>
        <w:tc>
          <w:tcPr>
            <w:tcW w:type="dxa" w:w="4536"/>
            <w:vAlign w:val="center"/>
          </w:tcPr>
          <w:p>
            <w:pPr>
              <w:spacing w:after="20"/>
            </w:pPr>
            <w:r/>
            <w:r>
              <w:rPr>
                <w:b w:val="0"/>
                <w:sz w:val="17"/>
              </w:rPr>
              <w:t>Confirm repository structure, frontend startup, backend startup, PostgreSQL availability, and safe environment configuration.</w:t>
            </w:r>
          </w:p>
        </w:tc>
        <w:tc>
          <w:tcPr>
            <w:tcW w:type="dxa" w:w="3600"/>
            <w:vAlign w:val="center"/>
          </w:tcPr>
          <w:p>
            <w:pPr>
              <w:spacing w:after="20"/>
            </w:pPr>
            <w:r/>
            <w:r>
              <w:rPr>
                <w:b w:val="0"/>
                <w:sz w:val="17"/>
              </w:rPr>
              <w:t>API and frontend run; database connection is verified with a real query.</w:t>
            </w:r>
          </w:p>
        </w:tc>
      </w:tr>
      <w:tr>
        <w:tc>
          <w:tcPr>
            <w:tcW w:type="dxa" w:w="2232"/>
            <w:vAlign w:val="center"/>
          </w:tcPr>
          <w:p>
            <w:pPr>
              <w:spacing w:after="20"/>
            </w:pPr>
            <w:r/>
            <w:r>
              <w:rPr>
                <w:b w:val="0"/>
                <w:sz w:val="17"/>
              </w:rPr>
              <w:t>M1 — Minimal data model</w:t>
            </w:r>
          </w:p>
        </w:tc>
        <w:tc>
          <w:tcPr>
            <w:tcW w:type="dxa" w:w="4536"/>
            <w:vAlign w:val="center"/>
          </w:tcPr>
          <w:p>
            <w:pPr>
              <w:spacing w:after="20"/>
            </w:pPr>
            <w:r/>
            <w:r>
              <w:rPr>
                <w:b w:val="0"/>
                <w:sz w:val="17"/>
              </w:rPr>
              <w:t>Create and migrate the minimum tables for concepts, questions, attempts, answers, code submissions/results, explanation responses, and recommendations.</w:t>
            </w:r>
          </w:p>
        </w:tc>
        <w:tc>
          <w:tcPr>
            <w:tcW w:type="dxa" w:w="3600"/>
            <w:vAlign w:val="center"/>
          </w:tcPr>
          <w:p>
            <w:pPr>
              <w:spacing w:after="20"/>
            </w:pPr>
            <w:r/>
            <w:r>
              <w:rPr>
                <w:b w:val="0"/>
                <w:sz w:val="17"/>
              </w:rPr>
              <w:t>Schema migrations apply cleanly; records and relationships can be created and retrieved.</w:t>
            </w:r>
          </w:p>
        </w:tc>
      </w:tr>
      <w:tr>
        <w:tc>
          <w:tcPr>
            <w:tcW w:type="dxa" w:w="2232"/>
            <w:vAlign w:val="center"/>
          </w:tcPr>
          <w:p>
            <w:pPr>
              <w:spacing w:after="20"/>
            </w:pPr>
            <w:r/>
            <w:r>
              <w:rPr>
                <w:b w:val="0"/>
                <w:sz w:val="17"/>
              </w:rPr>
              <w:t>M2 — Assessment API</w:t>
            </w:r>
          </w:p>
        </w:tc>
        <w:tc>
          <w:tcPr>
            <w:tcW w:type="dxa" w:w="4536"/>
            <w:vAlign w:val="center"/>
          </w:tcPr>
          <w:p>
            <w:pPr>
              <w:spacing w:after="20"/>
            </w:pPr>
            <w:r/>
            <w:r>
              <w:rPr>
                <w:b w:val="0"/>
                <w:sz w:val="17"/>
              </w:rPr>
              <w:t>Implement module retrieval, start attempt, submit answer, submit code, and submit explanation operations.</w:t>
            </w:r>
          </w:p>
        </w:tc>
        <w:tc>
          <w:tcPr>
            <w:tcW w:type="dxa" w:w="3600"/>
            <w:vAlign w:val="center"/>
          </w:tcPr>
          <w:p>
            <w:pPr>
              <w:spacing w:after="20"/>
            </w:pPr>
            <w:r/>
            <w:r>
              <w:rPr>
                <w:b w:val="0"/>
                <w:sz w:val="17"/>
              </w:rPr>
              <w:t>API tests validate the essential assessment behavior.</w:t>
            </w:r>
          </w:p>
        </w:tc>
      </w:tr>
      <w:tr>
        <w:tc>
          <w:tcPr>
            <w:tcW w:type="dxa" w:w="2232"/>
            <w:vAlign w:val="center"/>
          </w:tcPr>
          <w:p>
            <w:pPr>
              <w:spacing w:after="20"/>
            </w:pPr>
            <w:r/>
            <w:r>
              <w:rPr>
                <w:b w:val="0"/>
                <w:sz w:val="17"/>
              </w:rPr>
              <w:t>M3 — Student journey</w:t>
            </w:r>
          </w:p>
        </w:tc>
        <w:tc>
          <w:tcPr>
            <w:tcW w:type="dxa" w:w="4536"/>
            <w:vAlign w:val="center"/>
          </w:tcPr>
          <w:p>
            <w:pPr>
              <w:spacing w:after="20"/>
            </w:pPr>
            <w:r/>
            <w:r>
              <w:rPr>
                <w:b w:val="0"/>
                <w:sz w:val="17"/>
              </w:rPr>
              <w:t>Connect frontend screens to the assessment APIs and show results.</w:t>
            </w:r>
          </w:p>
        </w:tc>
        <w:tc>
          <w:tcPr>
            <w:tcW w:type="dxa" w:w="3600"/>
            <w:vAlign w:val="center"/>
          </w:tcPr>
          <w:p>
            <w:pPr>
              <w:spacing w:after="20"/>
            </w:pPr>
            <w:r/>
            <w:r>
              <w:rPr>
                <w:b w:val="0"/>
                <w:sz w:val="17"/>
              </w:rPr>
              <w:t>A student can complete the end-to-end journey.</w:t>
            </w:r>
          </w:p>
        </w:tc>
      </w:tr>
      <w:tr>
        <w:tc>
          <w:tcPr>
            <w:tcW w:type="dxa" w:w="2232"/>
            <w:vAlign w:val="center"/>
          </w:tcPr>
          <w:p>
            <w:pPr>
              <w:spacing w:after="20"/>
            </w:pPr>
            <w:r/>
            <w:r>
              <w:rPr>
                <w:b w:val="0"/>
                <w:sz w:val="17"/>
              </w:rPr>
              <w:t>M4 — Adaptive rules</w:t>
            </w:r>
          </w:p>
        </w:tc>
        <w:tc>
          <w:tcPr>
            <w:tcW w:type="dxa" w:w="4536"/>
            <w:vAlign w:val="center"/>
          </w:tcPr>
          <w:p>
            <w:pPr>
              <w:spacing w:after="20"/>
            </w:pPr>
            <w:r/>
            <w:r>
              <w:rPr>
                <w:b w:val="0"/>
                <w:sz w:val="17"/>
              </w:rPr>
              <w:t>Implement documented deterministic rules and recommendation rationale.</w:t>
            </w:r>
          </w:p>
        </w:tc>
        <w:tc>
          <w:tcPr>
            <w:tcW w:type="dxa" w:w="3600"/>
            <w:vAlign w:val="center"/>
          </w:tcPr>
          <w:p>
            <w:pPr>
              <w:spacing w:after="20"/>
            </w:pPr>
            <w:r/>
            <w:r>
              <w:rPr>
                <w:b w:val="0"/>
                <w:sz w:val="17"/>
              </w:rPr>
              <w:t>Rule tests cover expected outcomes and missing/conflicting evidence.</w:t>
            </w:r>
          </w:p>
        </w:tc>
      </w:tr>
      <w:tr>
        <w:tc>
          <w:tcPr>
            <w:tcW w:type="dxa" w:w="2232"/>
            <w:vAlign w:val="center"/>
          </w:tcPr>
          <w:p>
            <w:pPr>
              <w:spacing w:after="20"/>
            </w:pPr>
            <w:r/>
            <w:r>
              <w:rPr>
                <w:b w:val="0"/>
                <w:sz w:val="17"/>
              </w:rPr>
              <w:t>M5 — Teacher results</w:t>
            </w:r>
          </w:p>
        </w:tc>
        <w:tc>
          <w:tcPr>
            <w:tcW w:type="dxa" w:w="4536"/>
            <w:vAlign w:val="center"/>
          </w:tcPr>
          <w:p>
            <w:pPr>
              <w:spacing w:after="20"/>
            </w:pPr>
            <w:r/>
            <w:r>
              <w:rPr>
                <w:b w:val="0"/>
                <w:sz w:val="17"/>
              </w:rPr>
              <w:t>Provide the basic teacher results view and enforce permissions.</w:t>
            </w:r>
          </w:p>
        </w:tc>
        <w:tc>
          <w:tcPr>
            <w:tcW w:type="dxa" w:w="3600"/>
            <w:vAlign w:val="center"/>
          </w:tcPr>
          <w:p>
            <w:pPr>
              <w:spacing w:after="20"/>
            </w:pPr>
            <w:r/>
            <w:r>
              <w:rPr>
                <w:b w:val="0"/>
                <w:sz w:val="17"/>
              </w:rPr>
              <w:t>Teacher can inspect relevant records; students cannot access other students' records.</w:t>
            </w:r>
          </w:p>
        </w:tc>
      </w:tr>
      <w:tr>
        <w:tc>
          <w:tcPr>
            <w:tcW w:type="dxa" w:w="2232"/>
            <w:vAlign w:val="center"/>
          </w:tcPr>
          <w:p>
            <w:pPr>
              <w:spacing w:after="20"/>
            </w:pPr>
            <w:r/>
            <w:r>
              <w:rPr>
                <w:b w:val="0"/>
                <w:sz w:val="17"/>
              </w:rPr>
              <w:t>M6 — MVP validation</w:t>
            </w:r>
          </w:p>
        </w:tc>
        <w:tc>
          <w:tcPr>
            <w:tcW w:type="dxa" w:w="4536"/>
            <w:vAlign w:val="center"/>
          </w:tcPr>
          <w:p>
            <w:pPr>
              <w:spacing w:after="20"/>
            </w:pPr>
            <w:r/>
            <w:r>
              <w:rPr>
                <w:b w:val="0"/>
                <w:sz w:val="17"/>
              </w:rPr>
              <w:t>Run automated tests, code-runner safety checks, and the complete demo flow.</w:t>
            </w:r>
          </w:p>
        </w:tc>
        <w:tc>
          <w:tcPr>
            <w:tcW w:type="dxa" w:w="3600"/>
            <w:vAlign w:val="center"/>
          </w:tcPr>
          <w:p>
            <w:pPr>
              <w:spacing w:after="20"/>
            </w:pPr>
            <w:r/>
            <w:r>
              <w:rPr>
                <w:b w:val="0"/>
                <w:sz w:val="17"/>
              </w:rPr>
              <w:t>All P0 acceptance criteria pass or remaining gaps are explicitly documented.</w:t>
            </w:r>
          </w:p>
        </w:tc>
      </w:tr>
    </w:tbl>
    <w:p/>
    <w:p>
      <w:pPr>
        <w:pStyle w:val="Heading1"/>
      </w:pPr>
      <w:r>
        <w:t>15.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2520"/>
            <w:vAlign w:val="center"/>
            <w:shd w:fill="CFE2F3"/>
          </w:tcPr>
          <w:p>
            <w:pPr>
              <w:spacing w:after="20"/>
            </w:pPr>
            <w:r/>
            <w:r>
              <w:rPr>
                <w:b/>
                <w:sz w:val="17"/>
              </w:rPr>
              <w:t>Risk</w:t>
            </w:r>
          </w:p>
        </w:tc>
        <w:tc>
          <w:tcPr>
            <w:tcW w:type="dxa" w:w="2880"/>
            <w:vAlign w:val="center"/>
            <w:shd w:fill="CFE2F3"/>
          </w:tcPr>
          <w:p>
            <w:pPr>
              <w:spacing w:after="20"/>
            </w:pPr>
            <w:r/>
            <w:r>
              <w:rPr>
                <w:b/>
                <w:sz w:val="17"/>
              </w:rPr>
              <w:t>Impact</w:t>
            </w:r>
          </w:p>
        </w:tc>
        <w:tc>
          <w:tcPr>
            <w:tcW w:type="dxa" w:w="4968"/>
            <w:vAlign w:val="center"/>
            <w:shd w:fill="CFE2F3"/>
          </w:tcPr>
          <w:p>
            <w:pPr>
              <w:spacing w:after="20"/>
            </w:pPr>
            <w:r/>
            <w:r>
              <w:rPr>
                <w:b/>
                <w:sz w:val="17"/>
              </w:rPr>
              <w:t>Mitigation</w:t>
            </w:r>
          </w:p>
        </w:tc>
      </w:tr>
      <w:tr>
        <w:tc>
          <w:tcPr>
            <w:tcW w:type="dxa" w:w="2520"/>
            <w:vAlign w:val="center"/>
          </w:tcPr>
          <w:p>
            <w:pPr>
              <w:spacing w:after="20"/>
            </w:pPr>
            <w:r/>
            <w:r>
              <w:rPr>
                <w:b w:val="0"/>
                <w:sz w:val="17"/>
              </w:rPr>
              <w:t>Unsafe code execution</w:t>
            </w:r>
          </w:p>
        </w:tc>
        <w:tc>
          <w:tcPr>
            <w:tcW w:type="dxa" w:w="2880"/>
            <w:vAlign w:val="center"/>
          </w:tcPr>
          <w:p>
            <w:pPr>
              <w:spacing w:after="20"/>
            </w:pPr>
            <w:r/>
            <w:r>
              <w:rPr>
                <w:b w:val="0"/>
                <w:sz w:val="17"/>
              </w:rPr>
              <w:t>Could compromise the application or host environment.</w:t>
            </w:r>
          </w:p>
        </w:tc>
        <w:tc>
          <w:tcPr>
            <w:tcW w:type="dxa" w:w="4968"/>
            <w:vAlign w:val="center"/>
          </w:tcPr>
          <w:p>
            <w:pPr>
              <w:spacing w:after="20"/>
            </w:pPr>
            <w:r/>
            <w:r>
              <w:rPr>
                <w:b w:val="0"/>
                <w:sz w:val="17"/>
              </w:rPr>
              <w:t>Use an isolated runner with strict limits; never execute student code in FastAPI.</w:t>
            </w:r>
          </w:p>
        </w:tc>
      </w:tr>
      <w:tr>
        <w:tc>
          <w:tcPr>
            <w:tcW w:type="dxa" w:w="2520"/>
            <w:vAlign w:val="center"/>
          </w:tcPr>
          <w:p>
            <w:pPr>
              <w:spacing w:after="20"/>
            </w:pPr>
            <w:r/>
            <w:r>
              <w:rPr>
                <w:b w:val="0"/>
                <w:sz w:val="17"/>
              </w:rPr>
              <w:t>Overbuilding before proving value</w:t>
            </w:r>
          </w:p>
        </w:tc>
        <w:tc>
          <w:tcPr>
            <w:tcW w:type="dxa" w:w="2880"/>
            <w:vAlign w:val="center"/>
          </w:tcPr>
          <w:p>
            <w:pPr>
              <w:spacing w:after="20"/>
            </w:pPr>
            <w:r/>
            <w:r>
              <w:rPr>
                <w:b w:val="0"/>
                <w:sz w:val="17"/>
              </w:rPr>
              <w:t>Delays the core learning loop and increases integration failures.</w:t>
            </w:r>
          </w:p>
        </w:tc>
        <w:tc>
          <w:tcPr>
            <w:tcW w:type="dxa" w:w="4968"/>
            <w:vAlign w:val="center"/>
          </w:tcPr>
          <w:p>
            <w:pPr>
              <w:spacing w:after="20"/>
            </w:pPr>
            <w:r/>
            <w:r>
              <w:rPr>
                <w:b w:val="0"/>
                <w:sz w:val="17"/>
              </w:rPr>
              <w:t>Use PostgreSQL only, prepared content, deterministic rules, and a single backend.</w:t>
            </w:r>
          </w:p>
        </w:tc>
      </w:tr>
      <w:tr>
        <w:tc>
          <w:tcPr>
            <w:tcW w:type="dxa" w:w="2520"/>
            <w:vAlign w:val="center"/>
          </w:tcPr>
          <w:p>
            <w:pPr>
              <w:spacing w:after="20"/>
            </w:pPr>
            <w:r/>
            <w:r>
              <w:rPr>
                <w:b w:val="0"/>
                <w:sz w:val="17"/>
              </w:rPr>
              <w:t>Poorly designed adaptive rules</w:t>
            </w:r>
          </w:p>
        </w:tc>
        <w:tc>
          <w:tcPr>
            <w:tcW w:type="dxa" w:w="2880"/>
            <w:vAlign w:val="center"/>
          </w:tcPr>
          <w:p>
            <w:pPr>
              <w:spacing w:after="20"/>
            </w:pPr>
            <w:r/>
            <w:r>
              <w:rPr>
                <w:b w:val="0"/>
                <w:sz w:val="17"/>
              </w:rPr>
              <w:t>Recommendations may be misleading or repetitive.</w:t>
            </w:r>
          </w:p>
        </w:tc>
        <w:tc>
          <w:tcPr>
            <w:tcW w:type="dxa" w:w="4968"/>
            <w:vAlign w:val="center"/>
          </w:tcPr>
          <w:p>
            <w:pPr>
              <w:spacing w:after="20"/>
            </w:pPr>
            <w:r/>
            <w:r>
              <w:rPr>
                <w:b w:val="0"/>
                <w:sz w:val="17"/>
              </w:rPr>
              <w:t>Write explicit rules, create test cases, record rationale, and label uncertainty.</w:t>
            </w:r>
          </w:p>
        </w:tc>
      </w:tr>
      <w:tr>
        <w:tc>
          <w:tcPr>
            <w:tcW w:type="dxa" w:w="2520"/>
            <w:vAlign w:val="center"/>
          </w:tcPr>
          <w:p>
            <w:pPr>
              <w:spacing w:after="20"/>
            </w:pPr>
            <w:r/>
            <w:r>
              <w:rPr>
                <w:b w:val="0"/>
                <w:sz w:val="17"/>
              </w:rPr>
              <w:t>Incorrect or low-quality questions</w:t>
            </w:r>
          </w:p>
        </w:tc>
        <w:tc>
          <w:tcPr>
            <w:tcW w:type="dxa" w:w="2880"/>
            <w:vAlign w:val="center"/>
          </w:tcPr>
          <w:p>
            <w:pPr>
              <w:spacing w:after="20"/>
            </w:pPr>
            <w:r/>
            <w:r>
              <w:rPr>
                <w:b w:val="0"/>
                <w:sz w:val="17"/>
              </w:rPr>
              <w:t>Students receive confusing or invalid assessment content.</w:t>
            </w:r>
          </w:p>
        </w:tc>
        <w:tc>
          <w:tcPr>
            <w:tcW w:type="dxa" w:w="4968"/>
            <w:vAlign w:val="center"/>
          </w:tcPr>
          <w:p>
            <w:pPr>
              <w:spacing w:after="20"/>
            </w:pPr>
            <w:r/>
            <w:r>
              <w:rPr>
                <w:b w:val="0"/>
                <w:sz w:val="17"/>
              </w:rPr>
              <w:t>Use teacher-reviewed prepared questions and server-controlled tests.</w:t>
            </w:r>
          </w:p>
        </w:tc>
      </w:tr>
      <w:tr>
        <w:tc>
          <w:tcPr>
            <w:tcW w:type="dxa" w:w="2520"/>
            <w:vAlign w:val="center"/>
          </w:tcPr>
          <w:p>
            <w:pPr>
              <w:spacing w:after="20"/>
            </w:pPr>
            <w:r/>
            <w:r>
              <w:rPr>
                <w:b w:val="0"/>
                <w:sz w:val="17"/>
              </w:rPr>
              <w:t>Unauthorized access to student data</w:t>
            </w:r>
          </w:p>
        </w:tc>
        <w:tc>
          <w:tcPr>
            <w:tcW w:type="dxa" w:w="2880"/>
            <w:vAlign w:val="center"/>
          </w:tcPr>
          <w:p>
            <w:pPr>
              <w:spacing w:after="20"/>
            </w:pPr>
            <w:r/>
            <w:r>
              <w:rPr>
                <w:b w:val="0"/>
                <w:sz w:val="17"/>
              </w:rPr>
              <w:t>Privacy and trust risk.</w:t>
            </w:r>
          </w:p>
        </w:tc>
        <w:tc>
          <w:tcPr>
            <w:tcW w:type="dxa" w:w="4968"/>
            <w:vAlign w:val="center"/>
          </w:tcPr>
          <w:p>
            <w:pPr>
              <w:spacing w:after="20"/>
            </w:pPr>
            <w:r/>
            <w:r>
              <w:rPr>
                <w:b w:val="0"/>
                <w:sz w:val="17"/>
              </w:rPr>
              <w:t>Enforce backend authorization and test cross-student access denial.</w:t>
            </w:r>
          </w:p>
        </w:tc>
      </w:tr>
      <w:tr>
        <w:tc>
          <w:tcPr>
            <w:tcW w:type="dxa" w:w="2520"/>
            <w:vAlign w:val="center"/>
          </w:tcPr>
          <w:p>
            <w:pPr>
              <w:spacing w:after="20"/>
            </w:pPr>
            <w:r/>
            <w:r>
              <w:rPr>
                <w:b w:val="0"/>
                <w:sz w:val="17"/>
              </w:rPr>
              <w:t>External service failure</w:t>
            </w:r>
          </w:p>
        </w:tc>
        <w:tc>
          <w:tcPr>
            <w:tcW w:type="dxa" w:w="2880"/>
            <w:vAlign w:val="center"/>
          </w:tcPr>
          <w:p>
            <w:pPr>
              <w:spacing w:after="20"/>
            </w:pPr>
            <w:r/>
            <w:r>
              <w:rPr>
                <w:b w:val="0"/>
                <w:sz w:val="17"/>
              </w:rPr>
              <w:t>Assessment may be blocked or show misleading results.</w:t>
            </w:r>
          </w:p>
        </w:tc>
        <w:tc>
          <w:tcPr>
            <w:tcW w:type="dxa" w:w="4968"/>
            <w:vAlign w:val="center"/>
          </w:tcPr>
          <w:p>
            <w:pPr>
              <w:spacing w:after="20"/>
            </w:pPr>
            <w:r/>
            <w:r>
              <w:rPr>
                <w:b w:val="0"/>
                <w:sz w:val="17"/>
              </w:rPr>
              <w:t>Represent service failure explicitly, preserve state where possible, and support safe retry.</w:t>
            </w:r>
          </w:p>
        </w:tc>
      </w:tr>
      <w:tr>
        <w:tc>
          <w:tcPr>
            <w:tcW w:type="dxa" w:w="2520"/>
            <w:vAlign w:val="center"/>
          </w:tcPr>
          <w:p>
            <w:pPr>
              <w:spacing w:after="20"/>
            </w:pPr>
            <w:r/>
            <w:r>
              <w:rPr>
                <w:b w:val="0"/>
                <w:sz w:val="17"/>
              </w:rPr>
              <w:t>Scope creep</w:t>
            </w:r>
          </w:p>
        </w:tc>
        <w:tc>
          <w:tcPr>
            <w:tcW w:type="dxa" w:w="2880"/>
            <w:vAlign w:val="center"/>
          </w:tcPr>
          <w:p>
            <w:pPr>
              <w:spacing w:after="20"/>
            </w:pPr>
            <w:r/>
            <w:r>
              <w:rPr>
                <w:b w:val="0"/>
                <w:sz w:val="17"/>
              </w:rPr>
              <w:t>MVP becomes too large to finish.</w:t>
            </w:r>
          </w:p>
        </w:tc>
        <w:tc>
          <w:tcPr>
            <w:tcW w:type="dxa" w:w="4968"/>
            <w:vAlign w:val="center"/>
          </w:tcPr>
          <w:p>
            <w:pPr>
              <w:spacing w:after="20"/>
            </w:pPr>
            <w:r/>
            <w:r>
              <w:rPr>
                <w:b w:val="0"/>
                <w:sz w:val="17"/>
              </w:rPr>
              <w:t>Defer document ingestion, vector search, graph DB, advanced analytics, and advanced learner models.</w:t>
            </w:r>
          </w:p>
        </w:tc>
      </w:tr>
    </w:tbl>
    <w:p/>
    <w:p>
      <w:pPr>
        <w:pStyle w:val="Heading1"/>
      </w:pPr>
      <w:r>
        <w:t>16. Decisions and Open Questions</w:t>
      </w:r>
    </w:p>
    <w:p>
      <w:pPr>
        <w:pStyle w:val="Heading2"/>
      </w:pPr>
      <w:r>
        <w:t>16.1 Confirmed MVP decisions</w:t>
      </w:r>
    </w:p>
    <w:p>
      <w:pPr>
        <w:pStyle w:val="ListBullet"/>
        <w:spacing w:after="40"/>
      </w:pPr>
      <w:r>
        <w:t>Keep the initial product focused on one college syllabus and one prepared Python module.</w:t>
      </w:r>
    </w:p>
    <w:p>
      <w:pPr>
        <w:pStyle w:val="ListBullet"/>
        <w:spacing w:after="40"/>
      </w:pPr>
      <w:r>
        <w:t>Use React + TypeScript + Vite for the frontend and FastAPI for the backend.</w:t>
      </w:r>
    </w:p>
    <w:p>
      <w:pPr>
        <w:pStyle w:val="ListBullet"/>
        <w:spacing w:after="40"/>
      </w:pPr>
      <w:r>
        <w:t>Use PostgreSQL as the only application database for the MVP.</w:t>
      </w:r>
    </w:p>
    <w:p>
      <w:pPr>
        <w:pStyle w:val="ListBullet"/>
        <w:spacing w:after="40"/>
      </w:pPr>
      <w:r>
        <w:t>Use simple deterministic adaptation rules before introducing BKT or other advanced models.</w:t>
      </w:r>
    </w:p>
    <w:p>
      <w:pPr>
        <w:pStyle w:val="ListBullet"/>
        <w:spacing w:after="40"/>
      </w:pPr>
      <w:r>
        <w:t>Keep AI-based question generation and automated document ingestion out of the initial scope.</w:t>
      </w:r>
    </w:p>
    <w:p>
      <w:pPr>
        <w:pStyle w:val="ListBullet"/>
        <w:spacing w:after="40"/>
      </w:pPr>
      <w:r>
        <w:t>Use a separate isolated execution environment for student code.</w:t>
      </w:r>
    </w:p>
    <w:p>
      <w:pPr>
        <w:pStyle w:val="ListBullet"/>
        <w:spacing w:after="40"/>
      </w:pPr>
      <w:r>
        <w:t>Keep teachers in control of approved learning content and do not implement automatic cheating verdicts.</w:t>
      </w:r>
    </w:p>
    <w:p>
      <w:pPr>
        <w:pStyle w:val="Heading2"/>
      </w:pPr>
      <w:r>
        <w:t>16.2 Decisions to confirm during implementation</w:t>
      </w:r>
    </w:p>
    <w:p>
      <w:pPr>
        <w:pStyle w:val="ListBullet"/>
        <w:spacing w:after="40"/>
      </w:pPr>
      <w:r>
        <w:t>Exact authentication approach for the demo and how teacher accounts are provisioned.</w:t>
      </w:r>
    </w:p>
    <w:p>
      <w:pPr>
        <w:pStyle w:val="ListBullet"/>
        <w:spacing w:after="40"/>
      </w:pPr>
      <w:r>
        <w:t>Whether the code runner will be a vetted managed service or a self-hosted sandbox.</w:t>
      </w:r>
    </w:p>
    <w:p>
      <w:pPr>
        <w:pStyle w:val="ListBullet"/>
        <w:spacing w:after="40"/>
      </w:pPr>
      <w:r>
        <w:t>Exact Python version and allowed libraries for coding tasks.</w:t>
      </w:r>
    </w:p>
    <w:p>
      <w:pPr>
        <w:pStyle w:val="ListBullet"/>
        <w:spacing w:after="40"/>
      </w:pPr>
      <w:r>
        <w:t>Initial concept list, diagnostic questions, coding task, hidden tests, and explanation rubric.</w:t>
      </w:r>
    </w:p>
    <w:p>
      <w:pPr>
        <w:pStyle w:val="ListBullet"/>
        <w:spacing w:after="40"/>
      </w:pPr>
      <w:r>
        <w:t>Whether explanation responses are manually reviewed or scored by simple rubric rules in the MVP.</w:t>
      </w:r>
    </w:p>
    <w:p>
      <w:pPr>
        <w:pStyle w:val="ListBullet"/>
        <w:spacing w:after="40"/>
      </w:pPr>
      <w:r>
        <w:t>Hosting provider and database deployment option.</w:t>
      </w:r>
    </w:p>
    <w:p>
      <w:pPr>
        <w:pStyle w:val="ListBullet"/>
        <w:spacing w:after="40"/>
      </w:pPr>
      <w:r>
        <w:t>Retention period and deletion process for student code and assessment records.</w:t>
      </w:r>
    </w:p>
    <w:p>
      <w:pPr>
        <w:pStyle w:val="Heading1"/>
      </w:pPr>
      <w:r>
        <w:t>17. Definition of Done</w:t>
      </w:r>
    </w:p>
    <w:p>
      <w:r>
        <w:t>The BodhiMedha MVP is ready for its initial demonstration when:</w:t>
      </w:r>
    </w:p>
    <w:p>
      <w:pPr>
        <w:pStyle w:val="ListBullet"/>
        <w:spacing w:after="40"/>
      </w:pPr>
      <w:r>
        <w:t>Frontend, backend, and PostgreSQL run in the intended environment.</w:t>
      </w:r>
    </w:p>
    <w:p>
      <w:pPr>
        <w:pStyle w:val="ListBullet"/>
        <w:spacing w:after="40"/>
      </w:pPr>
      <w:r>
        <w:t>Database schema is managed through repeatable migrations.</w:t>
      </w:r>
    </w:p>
    <w:p>
      <w:pPr>
        <w:pStyle w:val="ListBullet"/>
        <w:spacing w:after="40"/>
      </w:pPr>
      <w:r>
        <w:t>A student can complete a diagnostic, coding task, and two explanation questions.</w:t>
      </w:r>
    </w:p>
    <w:p>
      <w:pPr>
        <w:pStyle w:val="ListBullet"/>
        <w:spacing w:after="40"/>
      </w:pPr>
      <w:r>
        <w:t>Code execution is isolated, bounded, and reports infrastructure errors distinctly.</w:t>
      </w:r>
    </w:p>
    <w:p>
      <w:pPr>
        <w:pStyle w:val="ListBullet"/>
        <w:spacing w:after="40"/>
      </w:pPr>
      <w:r>
        <w:t>Assessment evidence is saved and can be retrieved.</w:t>
      </w:r>
    </w:p>
    <w:p>
      <w:pPr>
        <w:pStyle w:val="ListBullet"/>
        <w:spacing w:after="40"/>
      </w:pPr>
      <w:r>
        <w:t>A deterministic rule selects the next activity and provides a reason.</w:t>
      </w:r>
    </w:p>
    <w:p>
      <w:pPr>
        <w:pStyle w:val="ListBullet"/>
        <w:spacing w:after="40"/>
      </w:pPr>
      <w:r>
        <w:t>A teacher can inspect the student's results and recommendation.</w:t>
      </w:r>
    </w:p>
    <w:p>
      <w:pPr>
        <w:pStyle w:val="ListBullet"/>
        <w:spacing w:after="40"/>
      </w:pPr>
      <w:r>
        <w:t>Critical authorization and business-rule tests pass.</w:t>
      </w:r>
    </w:p>
    <w:p>
      <w:pPr>
        <w:pStyle w:val="ListBullet"/>
        <w:spacing w:after="40"/>
      </w:pPr>
      <w:r>
        <w:t>The complete journey can be demonstrated using seeded, non-sensitive test accounts.</w:t>
      </w:r>
    </w:p>
    <w:p>
      <w:pPr>
        <w:pStyle w:val="ListBullet"/>
        <w:spacing w:after="40"/>
      </w:pPr>
      <w:r>
        <w:t>Known limitations are documented and no unverified feature is represented as complete.</w:t>
      </w:r>
    </w:p>
    <w:p>
      <w:pPr>
        <w:pStyle w:val="Heading1"/>
      </w:pPr>
      <w:r>
        <w:t>Appendix A — MVP Learning Journey</w:t>
      </w:r>
    </w:p>
    <w:p>
      <w:pPr>
        <w:pStyle w:val="ListNumber"/>
        <w:spacing w:after="40"/>
      </w:pPr>
      <w:r>
        <w:t>Teacher/project owner prepares and approves a small set of Python concepts, diagnostic questions, a coding task, tests, and explanation questions.</w:t>
      </w:r>
    </w:p>
    <w:p>
      <w:pPr>
        <w:pStyle w:val="ListNumber"/>
        <w:spacing w:after="40"/>
      </w:pPr>
      <w:r>
        <w:t>Student opens the module and starts an assessment attempt.</w:t>
      </w:r>
    </w:p>
    <w:p>
      <w:pPr>
        <w:pStyle w:val="ListNumber"/>
        <w:spacing w:after="40"/>
      </w:pPr>
      <w:r>
        <w:t>Student submits diagnostic answers; backend validates and stores responses.</w:t>
      </w:r>
    </w:p>
    <w:p>
      <w:pPr>
        <w:pStyle w:val="ListNumber"/>
        <w:spacing w:after="40"/>
      </w:pPr>
      <w:r>
        <w:t>Student submits Python code; backend requests execution from the isolated runner.</w:t>
      </w:r>
    </w:p>
    <w:p>
      <w:pPr>
        <w:pStyle w:val="ListNumber"/>
        <w:spacing w:after="40"/>
      </w:pPr>
      <w:r>
        <w:t>Runner returns a structured result; backend validates and stores it.</w:t>
      </w:r>
    </w:p>
    <w:p>
      <w:pPr>
        <w:pStyle w:val="ListNumber"/>
        <w:spacing w:after="40"/>
      </w:pPr>
      <w:r>
        <w:t>Student answers two explanation questions; backend stores the responses.</w:t>
      </w:r>
    </w:p>
    <w:p>
      <w:pPr>
        <w:pStyle w:val="ListNumber"/>
        <w:spacing w:after="40"/>
      </w:pPr>
      <w:r>
        <w:t>Rule engine evaluates available evidence and selects an approved remediation or next question.</w:t>
      </w:r>
    </w:p>
    <w:p>
      <w:pPr>
        <w:pStyle w:val="ListNumber"/>
        <w:spacing w:after="40"/>
      </w:pPr>
      <w:r>
        <w:t>Student sees feedback and the recommended activity.</w:t>
      </w:r>
    </w:p>
    <w:p>
      <w:pPr>
        <w:pStyle w:val="ListNumber"/>
        <w:spacing w:after="40"/>
      </w:pPr>
      <w:r>
        <w:t>Teacher reviews the attempt evidence and recommendation.</w:t>
      </w:r>
    </w:p>
    <w:p>
      <w:pPr>
        <w:pStyle w:val="Heading1"/>
      </w:pPr>
      <w:r>
        <w:t>Appendix B — Glossary of Status Terms</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CFE2F3"/>
          </w:tcPr>
          <w:p>
            <w:pPr>
              <w:spacing w:after="20"/>
            </w:pPr>
            <w:r/>
            <w:r>
              <w:rPr>
                <w:b/>
                <w:sz w:val="17"/>
              </w:rPr>
              <w:t>Status</w:t>
            </w:r>
          </w:p>
        </w:tc>
        <w:tc>
          <w:tcPr>
            <w:tcW w:type="dxa" w:w="8352"/>
            <w:vAlign w:val="center"/>
            <w:shd w:fill="CFE2F3"/>
          </w:tcPr>
          <w:p>
            <w:pPr>
              <w:spacing w:after="20"/>
            </w:pPr>
            <w:r/>
            <w:r>
              <w:rPr>
                <w:b/>
                <w:sz w:val="17"/>
              </w:rPr>
              <w:t>Meaning</w:t>
            </w:r>
          </w:p>
        </w:tc>
      </w:tr>
      <w:tr>
        <w:tc>
          <w:tcPr>
            <w:tcW w:type="dxa" w:w="2016"/>
            <w:vAlign w:val="center"/>
          </w:tcPr>
          <w:p>
            <w:pPr>
              <w:spacing w:after="20"/>
            </w:pPr>
            <w:r/>
            <w:r>
              <w:rPr>
                <w:b w:val="0"/>
                <w:sz w:val="17"/>
              </w:rPr>
              <w:t>Planned</w:t>
            </w:r>
          </w:p>
        </w:tc>
        <w:tc>
          <w:tcPr>
            <w:tcW w:type="dxa" w:w="8352"/>
            <w:vAlign w:val="center"/>
          </w:tcPr>
          <w:p>
            <w:pPr>
              <w:spacing w:after="20"/>
            </w:pPr>
            <w:r/>
            <w:r>
              <w:rPr>
                <w:b w:val="0"/>
                <w:sz w:val="17"/>
              </w:rPr>
              <w:t>Requirement or design decision exists; implementation has not been demonstrated.</w:t>
            </w:r>
          </w:p>
        </w:tc>
      </w:tr>
      <w:tr>
        <w:tc>
          <w:tcPr>
            <w:tcW w:type="dxa" w:w="2016"/>
            <w:vAlign w:val="center"/>
          </w:tcPr>
          <w:p>
            <w:pPr>
              <w:spacing w:after="20"/>
            </w:pPr>
            <w:r/>
            <w:r>
              <w:rPr>
                <w:b w:val="0"/>
                <w:sz w:val="17"/>
              </w:rPr>
              <w:t>Implemented</w:t>
            </w:r>
          </w:p>
        </w:tc>
        <w:tc>
          <w:tcPr>
            <w:tcW w:type="dxa" w:w="8352"/>
            <w:vAlign w:val="center"/>
          </w:tcPr>
          <w:p>
            <w:pPr>
              <w:spacing w:after="20"/>
            </w:pPr>
            <w:r/>
            <w:r>
              <w:rPr>
                <w:b w:val="0"/>
                <w:sz w:val="17"/>
              </w:rPr>
              <w:t>Code or configuration appears to exist, but behavior may not yet have been verified.</w:t>
            </w:r>
          </w:p>
        </w:tc>
      </w:tr>
      <w:tr>
        <w:tc>
          <w:tcPr>
            <w:tcW w:type="dxa" w:w="2016"/>
            <w:vAlign w:val="center"/>
          </w:tcPr>
          <w:p>
            <w:pPr>
              <w:spacing w:after="20"/>
            </w:pPr>
            <w:r/>
            <w:r>
              <w:rPr>
                <w:b w:val="0"/>
                <w:sz w:val="17"/>
              </w:rPr>
              <w:t>Verified</w:t>
            </w:r>
          </w:p>
        </w:tc>
        <w:tc>
          <w:tcPr>
            <w:tcW w:type="dxa" w:w="8352"/>
            <w:vAlign w:val="center"/>
          </w:tcPr>
          <w:p>
            <w:pPr>
              <w:spacing w:after="20"/>
            </w:pPr>
            <w:r/>
            <w:r>
              <w:rPr>
                <w:b w:val="0"/>
                <w:sz w:val="17"/>
              </w:rPr>
              <w:t>Behavior has been observed through a reproducible check or relevant passing test.</w:t>
            </w:r>
          </w:p>
        </w:tc>
      </w:tr>
      <w:tr>
        <w:tc>
          <w:tcPr>
            <w:tcW w:type="dxa" w:w="2016"/>
            <w:vAlign w:val="center"/>
          </w:tcPr>
          <w:p>
            <w:pPr>
              <w:spacing w:after="20"/>
            </w:pPr>
            <w:r/>
            <w:r>
              <w:rPr>
                <w:b w:val="0"/>
                <w:sz w:val="17"/>
              </w:rPr>
              <w:t>Blocked</w:t>
            </w:r>
          </w:p>
        </w:tc>
        <w:tc>
          <w:tcPr>
            <w:tcW w:type="dxa" w:w="8352"/>
            <w:vAlign w:val="center"/>
          </w:tcPr>
          <w:p>
            <w:pPr>
              <w:spacing w:after="20"/>
            </w:pPr>
            <w:r/>
            <w:r>
              <w:rPr>
                <w:b w:val="0"/>
                <w:sz w:val="17"/>
              </w:rPr>
              <w:t>A dependency, error, or decision prevents progress.</w:t>
            </w:r>
          </w:p>
        </w:tc>
      </w:tr>
      <w:tr>
        <w:tc>
          <w:tcPr>
            <w:tcW w:type="dxa" w:w="2016"/>
            <w:vAlign w:val="center"/>
          </w:tcPr>
          <w:p>
            <w:pPr>
              <w:spacing w:after="20"/>
            </w:pPr>
            <w:r/>
            <w:r>
              <w:rPr>
                <w:b w:val="0"/>
                <w:sz w:val="17"/>
              </w:rPr>
              <w:t>Out of scope</w:t>
            </w:r>
          </w:p>
        </w:tc>
        <w:tc>
          <w:tcPr>
            <w:tcW w:type="dxa" w:w="8352"/>
            <w:vAlign w:val="center"/>
          </w:tcPr>
          <w:p>
            <w:pPr>
              <w:spacing w:after="20"/>
            </w:pPr>
            <w:r/>
            <w:r>
              <w:rPr>
                <w:b w:val="0"/>
                <w:sz w:val="17"/>
              </w:rPr>
              <w:t>Explicitly deferred from this MVP; not required for MVP acceptance.</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BodhiMedha MVP SRS v1.0 — Draft for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1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41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941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1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