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PROJECT REPORT</w:t>
      </w:r>
    </w:p>
    <w:p>
      <w:pPr>
        <w:jc w:val="center"/>
      </w:pPr>
      <w:r>
        <w:rPr>
          <w:b/>
          <w:i w:val="0"/>
          <w:sz w:val="52"/>
        </w:rPr>
        <w:t>E-Commerce Sales, Customer &amp; Shipping Analytics Dashboard</w:t>
      </w:r>
    </w:p>
    <w:p>
      <w:pPr>
        <w:jc w:val="center"/>
      </w:pPr>
      <w:r>
        <w:rPr>
          <w:b w:val="0"/>
          <w:i/>
          <w:sz w:val="26"/>
        </w:rPr>
        <w:t>A Python-based Data Analytics Project using pandas, SciPy, Plotly and Streamlit</w:t>
      </w:r>
    </w:p>
    <w:p/>
    <w:p/>
    <w:p/>
    <w:p/>
    <w:p>
      <w:pPr>
        <w:jc w:val="center"/>
      </w:pPr>
      <w:r>
        <w:rPr>
          <w:b w:val="0"/>
          <w:i w:val="0"/>
          <w:sz w:val="24"/>
        </w:rPr>
        <w:t>Submitted by: [Student Name]</w:t>
      </w:r>
    </w:p>
    <w:p>
      <w:pPr>
        <w:jc w:val="center"/>
      </w:pPr>
      <w:r>
        <w:rPr>
          <w:b w:val="0"/>
          <w:i w:val="0"/>
          <w:sz w:val="24"/>
        </w:rPr>
        <w:t>Programme: [Course / Programme]</w:t>
      </w:r>
    </w:p>
    <w:p>
      <w:pPr>
        <w:jc w:val="center"/>
      </w:pPr>
      <w:r>
        <w:rPr>
          <w:b w:val="0"/>
          <w:i w:val="0"/>
          <w:sz w:val="24"/>
        </w:rPr>
        <w:t>Institution: [College / University Name]</w:t>
      </w:r>
    </w:p>
    <w:p>
      <w:pPr>
        <w:jc w:val="center"/>
      </w:pPr>
      <w:r>
        <w:rPr>
          <w:b w:val="0"/>
          <w:i w:val="0"/>
          <w:sz w:val="24"/>
        </w:rPr>
        <w:t>Project Guide: [Guide / Supervisor Name]</w:t>
      </w:r>
    </w:p>
    <w:p>
      <w:pPr>
        <w:jc w:val="center"/>
      </w:pPr>
      <w:r>
        <w:rPr>
          <w:b w:val="0"/>
          <w:i w:val="0"/>
          <w:sz w:val="24"/>
        </w:rPr>
        <w:t>Academic Year: 2026</w:t>
      </w:r>
    </w:p>
    <w:p/>
    <w:p>
      <w:pPr>
        <w:jc w:val="center"/>
      </w:pPr>
      <w:r>
        <w:rPr>
          <w:b w:val="0"/>
          <w:i/>
          <w:sz w:val="20"/>
        </w:rPr>
        <w:t>Dataset: realistic_e_commerce_sales_data.csv (provided with this project)</w:t>
      </w:r>
    </w:p>
    <w:p>
      <w:r>
        <w:br w:type="page"/>
      </w:r>
    </w:p>
    <w:p>
      <w:pPr>
        <w:pStyle w:val="Title"/>
      </w:pPr>
      <w:r>
        <w:rPr>
          <w:color w:val="1F3864"/>
          <w:sz w:val="40"/>
        </w:rPr>
        <w:t>Certificate / Declaration</w:t>
      </w:r>
    </w:p>
    <w:p>
      <w:r>
        <w:rPr>
          <w:b w:val="0"/>
          <w:i w:val="0"/>
        </w:rPr>
        <w:t>This is to certify that the project report titled "E-Commerce Sales, Customer &amp; Shipping Analytics Dashboard" is a bonafide record of work carried out by [Student Name] of [College / University Name] in partial fulfilment of the requirements of [Course / Programme], under the guidance of [Guide / Supervisor Name].</w:t>
      </w:r>
    </w:p>
    <w:p>
      <w:r>
        <w:rPr>
          <w:b w:val="0"/>
          <w:i w:val="0"/>
        </w:rPr>
        <w:t>Declaration: I hereby declare that this project is my own work. All analytical results in this report were calculated from the supplied dataset using the Python code submitted with this project. No data, results or links have been fabricated, and sources consulted are listed in the References section.</w:t>
      </w:r>
    </w:p>
    <w:p>
      <w:r>
        <w:rPr>
          <w:b w:val="0"/>
          <w:i w:val="0"/>
        </w:rPr>
        <w:t>Student signature: ______________________          Guide signature: ______________________</w:t>
      </w:r>
    </w:p>
    <w:p>
      <w:r>
        <w:rPr>
          <w:b w:val="0"/>
          <w:i w:val="0"/>
        </w:rPr>
        <w:t>Date: ____ / ____ / ________          Place: ______________________</w:t>
      </w:r>
    </w:p>
    <w:p>
      <w:r>
        <w:br w:type="page"/>
      </w:r>
    </w:p>
    <w:p>
      <w:pPr>
        <w:pStyle w:val="Title"/>
      </w:pPr>
      <w:r>
        <w:rPr>
          <w:color w:val="1F3864"/>
          <w:sz w:val="40"/>
        </w:rPr>
        <w:t>Acknowledgement</w:t>
      </w:r>
    </w:p>
    <w:p>
      <w:r>
        <w:rPr>
          <w:b w:val="0"/>
          <w:i w:val="0"/>
        </w:rPr>
        <w:t>I would like to thank my project guide, [Guide / Supervisor Name], for the guidance and feedback received during this project, and the faculty of [College / University Name] for the learning environment that made it possible.</w:t>
      </w:r>
    </w:p>
    <w:p>
      <w:r>
        <w:rPr>
          <w:b w:val="0"/>
          <w:i w:val="0"/>
        </w:rPr>
        <w:t>I also acknowledge the open-source communities behind Python, pandas, NumPy, SciPy, Matplotlib, Plotly and Streamlit, whose documentation and tools made it possible to build a complete analytics application using only Python.</w:t>
      </w:r>
    </w:p>
    <w:p>
      <w:r>
        <w:rPr>
          <w:b w:val="0"/>
          <w:i w:val="0"/>
        </w:rPr>
        <w:t>Finally, I thank my family and friends for their encouragement.</w:t>
      </w:r>
    </w:p>
    <w:p>
      <w:r>
        <w:br w:type="page"/>
      </w:r>
    </w:p>
    <w:p>
      <w:pPr>
        <w:pStyle w:val="Title"/>
      </w:pPr>
      <w:r>
        <w:rPr>
          <w:color w:val="1F3864"/>
          <w:sz w:val="40"/>
        </w:rPr>
        <w:t>Abstract</w:t>
      </w:r>
    </w:p>
    <w:p>
      <w:r>
        <w:rPr>
          <w:b w:val="0"/>
          <w:i w:val="0"/>
        </w:rPr>
        <w:t>This project builds an end-to-end analytics system for an e-commerce transaction dataset of 1,000 orders placed by 292 customer IDs between 01 Jan 2023 and 03 Jan 2024. The data were loaded, profiled, cleaned (missing Region, Shipping Status and Age values handled without deleting rows; 20 inconsistent Unit Price values repaired), and analysed using descriptive statistics, group aggregations, confidence intervals and hypothesis tests. The results are delivered through an interactive Streamlit dashboard with six pages and sidebar filters.</w:t>
      </w:r>
    </w:p>
    <w:p>
      <w:r>
        <w:rPr>
          <w:b w:val="0"/>
          <w:i w:val="0"/>
        </w:rPr>
        <w:t>Total revenue (sum of Total Price) is 1,346,600 from 3,008 units, with an average order value of 1,347. Laptop is the top product (51.7% of revenue) and Electronics the top category (89.2%). Revenue is spread evenly across regions, but West has the highest return rate (39.9%), a difference that is statistically significant (chi-square p = 0.0004). Overall, 32.4% of orders with a known status were returned.</w:t>
      </w:r>
    </w:p>
    <w:p>
      <w:r>
        <w:rPr>
          <w:b w:val="0"/>
          <w:i w:val="0"/>
        </w:rPr>
        <w:t>Keywords: e-commerce analytics, exploratory data analysis, KPI, return rate, Streamlit, Plotly, pandas.</w:t>
      </w:r>
    </w:p>
    <w:p>
      <w:r>
        <w:br w:type="page"/>
      </w:r>
    </w:p>
    <w:p>
      <w:pPr>
        <w:pStyle w:val="Title"/>
      </w:pPr>
      <w:r>
        <w:rPr>
          <w:color w:val="1F3864"/>
          <w:sz w:val="40"/>
        </w:rPr>
        <w:t>Table of Contents</w:t>
      </w:r>
    </w:p>
    <w:p>
      <w:pPr>
        <w:tabs>
          <w:tab w:pos="8928" w:val="right" w:leader="dot"/>
        </w:tabs>
        <w:spacing w:after="40"/>
        <w:ind w:left="0"/>
      </w:pPr>
      <w:r>
        <w:fldChar w:fldCharType="begin"/>
      </w:r>
      <w:r>
        <w:instrText xml:space="preserve">TOC \o "1-2" \h \z \u</w:instrText>
      </w:r>
      <w:r>
        <w:fldChar w:fldCharType="separate"/>
      </w:r>
      <w:r>
        <w:rPr>
          <w:b/>
        </w:rPr>
        <w:t>1. Introduction</w:t>
        <w:tab/>
        <w:t>6</w:t>
      </w:r>
    </w:p>
    <w:p>
      <w:pPr>
        <w:tabs>
          <w:tab w:pos="8928" w:val="right" w:leader="dot"/>
        </w:tabs>
        <w:spacing w:after="40"/>
        <w:ind w:left="0"/>
      </w:pPr>
      <w:r>
        <w:rPr>
          <w:b/>
        </w:rPr>
        <w:t>2. Background</w:t>
        <w:tab/>
        <w:t>6</w:t>
      </w:r>
    </w:p>
    <w:p>
      <w:pPr>
        <w:tabs>
          <w:tab w:pos="8928" w:val="right" w:leader="dot"/>
        </w:tabs>
        <w:spacing w:after="40"/>
        <w:ind w:left="0"/>
      </w:pPr>
      <w:r>
        <w:rPr>
          <w:b/>
        </w:rPr>
        <w:t>3. Problem Statement</w:t>
        <w:tab/>
        <w:t>6</w:t>
      </w:r>
    </w:p>
    <w:p>
      <w:pPr>
        <w:tabs>
          <w:tab w:pos="8928" w:val="right" w:leader="dot"/>
        </w:tabs>
        <w:spacing w:after="40"/>
        <w:ind w:left="0"/>
      </w:pPr>
      <w:r>
        <w:rPr>
          <w:b/>
        </w:rPr>
        <w:t>4. Objectives</w:t>
        <w:tab/>
        <w:t>6</w:t>
      </w:r>
    </w:p>
    <w:p>
      <w:pPr>
        <w:tabs>
          <w:tab w:pos="8928" w:val="right" w:leader="dot"/>
        </w:tabs>
        <w:spacing w:after="40"/>
        <w:ind w:left="0"/>
      </w:pPr>
      <w:r>
        <w:rPr>
          <w:b/>
        </w:rPr>
        <w:t>5. Scope of the Project</w:t>
        <w:tab/>
        <w:t>7</w:t>
      </w:r>
    </w:p>
    <w:p>
      <w:pPr>
        <w:tabs>
          <w:tab w:pos="8928" w:val="right" w:leader="dot"/>
        </w:tabs>
        <w:spacing w:after="40"/>
        <w:ind w:left="0"/>
      </w:pPr>
      <w:r>
        <w:rPr>
          <w:b/>
        </w:rPr>
        <w:t>6. Dataset Description</w:t>
        <w:tab/>
        <w:t>7</w:t>
      </w:r>
    </w:p>
    <w:p>
      <w:pPr>
        <w:tabs>
          <w:tab w:pos="8928" w:val="right" w:leader="dot"/>
        </w:tabs>
        <w:spacing w:after="40"/>
        <w:ind w:left="0"/>
      </w:pPr>
      <w:r>
        <w:rPr>
          <w:b/>
        </w:rPr>
        <w:t>7. Data Dictionary</w:t>
        <w:tab/>
        <w:t>8</w:t>
      </w:r>
    </w:p>
    <w:p>
      <w:pPr>
        <w:tabs>
          <w:tab w:pos="8928" w:val="right" w:leader="dot"/>
        </w:tabs>
        <w:spacing w:after="40"/>
        <w:ind w:left="0"/>
      </w:pPr>
      <w:r>
        <w:rPr>
          <w:b/>
        </w:rPr>
        <w:t>8. Tools and Technologies</w:t>
        <w:tab/>
        <w:t>9</w:t>
      </w:r>
    </w:p>
    <w:p>
      <w:pPr>
        <w:tabs>
          <w:tab w:pos="8928" w:val="right" w:leader="dot"/>
        </w:tabs>
        <w:spacing w:after="40"/>
        <w:ind w:left="0"/>
      </w:pPr>
      <w:r>
        <w:rPr>
          <w:b/>
        </w:rPr>
        <w:t>9. System / Project Architecture</w:t>
        <w:tab/>
        <w:t>9</w:t>
      </w:r>
    </w:p>
    <w:p>
      <w:pPr>
        <w:tabs>
          <w:tab w:pos="8928" w:val="right" w:leader="dot"/>
        </w:tabs>
        <w:spacing w:after="40"/>
        <w:ind w:left="0"/>
      </w:pPr>
      <w:r>
        <w:rPr>
          <w:b/>
        </w:rPr>
        <w:t>10. Data Cleaning and Preprocessing</w:t>
        <w:tab/>
        <w:t>10</w:t>
      </w:r>
    </w:p>
    <w:p>
      <w:pPr>
        <w:tabs>
          <w:tab w:pos="8928" w:val="right" w:leader="dot"/>
        </w:tabs>
        <w:spacing w:after="40"/>
        <w:ind w:left="432"/>
      </w:pPr>
      <w:r>
        <w:rPr>
          <w:b w:val="0"/>
        </w:rPr>
        <w:t>Key decisions</w:t>
        <w:tab/>
        <w:t>10</w:t>
      </w:r>
    </w:p>
    <w:p>
      <w:pPr>
        <w:tabs>
          <w:tab w:pos="8928" w:val="right" w:leader="dot"/>
        </w:tabs>
        <w:spacing w:after="40"/>
        <w:ind w:left="432"/>
      </w:pPr>
      <w:r>
        <w:rPr>
          <w:b w:val="0"/>
        </w:rPr>
        <w:t>Data-quality observations that limit interpretation</w:t>
        <w:tab/>
        <w:t>11</w:t>
      </w:r>
    </w:p>
    <w:p>
      <w:pPr>
        <w:tabs>
          <w:tab w:pos="8928" w:val="right" w:leader="dot"/>
        </w:tabs>
        <w:spacing w:after="40"/>
        <w:ind w:left="0"/>
      </w:pPr>
      <w:r>
        <w:rPr>
          <w:b/>
        </w:rPr>
        <w:t>11. Exploratory Data Analysis</w:t>
        <w:tab/>
        <w:t>11</w:t>
      </w:r>
    </w:p>
    <w:p>
      <w:pPr>
        <w:tabs>
          <w:tab w:pos="8928" w:val="right" w:leader="dot"/>
        </w:tabs>
        <w:spacing w:after="40"/>
        <w:ind w:left="0"/>
      </w:pPr>
      <w:r>
        <w:rPr>
          <w:b/>
        </w:rPr>
        <w:t>12. Statistical Analysis</w:t>
        <w:tab/>
        <w:t>12</w:t>
      </w:r>
    </w:p>
    <w:p>
      <w:pPr>
        <w:tabs>
          <w:tab w:pos="8928" w:val="right" w:leader="dot"/>
        </w:tabs>
        <w:spacing w:after="40"/>
        <w:ind w:left="432"/>
      </w:pPr>
      <w:r>
        <w:rPr>
          <w:b w:val="0"/>
        </w:rPr>
        <w:t>Correlation analysis</w:t>
        <w:tab/>
        <w:t>12</w:t>
      </w:r>
    </w:p>
    <w:p>
      <w:pPr>
        <w:tabs>
          <w:tab w:pos="8928" w:val="right" w:leader="dot"/>
        </w:tabs>
        <w:spacing w:after="40"/>
        <w:ind w:left="432"/>
      </w:pPr>
      <w:r>
        <w:rPr>
          <w:b w:val="0"/>
        </w:rPr>
        <w:t>Hypothesis tests</w:t>
        <w:tab/>
        <w:t>13</w:t>
      </w:r>
    </w:p>
    <w:p>
      <w:pPr>
        <w:tabs>
          <w:tab w:pos="8928" w:val="right" w:leader="dot"/>
        </w:tabs>
        <w:spacing w:after="40"/>
        <w:ind w:left="0"/>
      </w:pPr>
      <w:r>
        <w:rPr>
          <w:b/>
        </w:rPr>
        <w:t>13. KPI Analysis</w:t>
        <w:tab/>
        <w:t>13</w:t>
      </w:r>
    </w:p>
    <w:p>
      <w:pPr>
        <w:tabs>
          <w:tab w:pos="8928" w:val="right" w:leader="dot"/>
        </w:tabs>
        <w:spacing w:after="40"/>
        <w:ind w:left="0"/>
      </w:pPr>
      <w:r>
        <w:rPr>
          <w:b/>
        </w:rPr>
        <w:t>14. Customer Analysis</w:t>
        <w:tab/>
        <w:t>14</w:t>
      </w:r>
    </w:p>
    <w:p>
      <w:pPr>
        <w:tabs>
          <w:tab w:pos="8928" w:val="right" w:leader="dot"/>
        </w:tabs>
        <w:spacing w:after="40"/>
        <w:ind w:left="0"/>
      </w:pPr>
      <w:r>
        <w:rPr>
          <w:b/>
        </w:rPr>
        <w:t>15. Product Analysis</w:t>
        <w:tab/>
        <w:t>15</w:t>
      </w:r>
    </w:p>
    <w:p>
      <w:pPr>
        <w:tabs>
          <w:tab w:pos="8928" w:val="right" w:leader="dot"/>
        </w:tabs>
        <w:spacing w:after="40"/>
        <w:ind w:left="0"/>
      </w:pPr>
      <w:r>
        <w:rPr>
          <w:b/>
        </w:rPr>
        <w:t>16. Category Analysis</w:t>
        <w:tab/>
        <w:t>16</w:t>
      </w:r>
    </w:p>
    <w:p>
      <w:pPr>
        <w:tabs>
          <w:tab w:pos="8928" w:val="right" w:leader="dot"/>
        </w:tabs>
        <w:spacing w:after="40"/>
        <w:ind w:left="0"/>
      </w:pPr>
      <w:r>
        <w:rPr>
          <w:b/>
        </w:rPr>
        <w:t>17. Regional Analysis</w:t>
        <w:tab/>
        <w:t>17</w:t>
      </w:r>
    </w:p>
    <w:p>
      <w:pPr>
        <w:tabs>
          <w:tab w:pos="8928" w:val="right" w:leader="dot"/>
        </w:tabs>
        <w:spacing w:after="40"/>
        <w:ind w:left="0"/>
      </w:pPr>
      <w:r>
        <w:rPr>
          <w:b/>
        </w:rPr>
        <w:t>18. Shipping Analysis</w:t>
        <w:tab/>
        <w:t>18</w:t>
      </w:r>
    </w:p>
    <w:p>
      <w:pPr>
        <w:tabs>
          <w:tab w:pos="8928" w:val="right" w:leader="dot"/>
        </w:tabs>
        <w:spacing w:after="40"/>
        <w:ind w:left="0"/>
      </w:pPr>
      <w:r>
        <w:rPr>
          <w:b/>
        </w:rPr>
        <w:t>19. Time-Series Analysis</w:t>
        <w:tab/>
        <w:t>19</w:t>
      </w:r>
    </w:p>
    <w:p>
      <w:pPr>
        <w:tabs>
          <w:tab w:pos="8928" w:val="right" w:leader="dot"/>
        </w:tabs>
        <w:spacing w:after="40"/>
        <w:ind w:left="0"/>
      </w:pPr>
      <w:r>
        <w:rPr>
          <w:b/>
        </w:rPr>
        <w:t>20. Dashboard Design</w:t>
        <w:tab/>
        <w:t>21</w:t>
      </w:r>
    </w:p>
    <w:p>
      <w:pPr>
        <w:tabs>
          <w:tab w:pos="8928" w:val="right" w:leader="dot"/>
        </w:tabs>
        <w:spacing w:after="40"/>
        <w:ind w:left="0"/>
      </w:pPr>
      <w:r>
        <w:rPr>
          <w:b/>
        </w:rPr>
        <w:t>21. Key Findings</w:t>
        <w:tab/>
        <w:t>22</w:t>
      </w:r>
    </w:p>
    <w:p>
      <w:pPr>
        <w:tabs>
          <w:tab w:pos="8928" w:val="right" w:leader="dot"/>
        </w:tabs>
        <w:spacing w:after="40"/>
        <w:ind w:left="0"/>
      </w:pPr>
      <w:r>
        <w:rPr>
          <w:b/>
        </w:rPr>
        <w:t>22. Business Insights</w:t>
        <w:tab/>
        <w:t>22</w:t>
      </w:r>
    </w:p>
    <w:p>
      <w:pPr>
        <w:tabs>
          <w:tab w:pos="8928" w:val="right" w:leader="dot"/>
        </w:tabs>
        <w:spacing w:after="40"/>
        <w:ind w:left="0"/>
      </w:pPr>
      <w:r>
        <w:rPr>
          <w:b/>
        </w:rPr>
        <w:t>23. Business Recommendations</w:t>
        <w:tab/>
        <w:t>23</w:t>
      </w:r>
    </w:p>
    <w:p>
      <w:pPr>
        <w:tabs>
          <w:tab w:pos="8928" w:val="right" w:leader="dot"/>
        </w:tabs>
        <w:spacing w:after="40"/>
        <w:ind w:left="0"/>
      </w:pPr>
      <w:r>
        <w:rPr>
          <w:b/>
        </w:rPr>
        <w:t>24. Limitations</w:t>
        <w:tab/>
        <w:t>23</w:t>
      </w:r>
    </w:p>
    <w:p>
      <w:pPr>
        <w:tabs>
          <w:tab w:pos="8928" w:val="right" w:leader="dot"/>
        </w:tabs>
        <w:spacing w:after="40"/>
        <w:ind w:left="0"/>
      </w:pPr>
      <w:r>
        <w:rPr>
          <w:b/>
        </w:rPr>
        <w:t>25. Future Scope</w:t>
        <w:tab/>
        <w:t>23</w:t>
      </w:r>
    </w:p>
    <w:p>
      <w:pPr>
        <w:tabs>
          <w:tab w:pos="8928" w:val="right" w:leader="dot"/>
        </w:tabs>
        <w:spacing w:after="40"/>
        <w:ind w:left="0"/>
      </w:pPr>
      <w:r>
        <w:rPr>
          <w:b/>
        </w:rPr>
        <w:t>26. Conclusion</w:t>
        <w:tab/>
        <w:t>23</w:t>
      </w:r>
    </w:p>
    <w:p>
      <w:pPr>
        <w:tabs>
          <w:tab w:pos="8928" w:val="right" w:leader="dot"/>
        </w:tabs>
        <w:spacing w:after="40"/>
        <w:ind w:left="0"/>
      </w:pPr>
      <w:r>
        <w:rPr>
          <w:b/>
        </w:rPr>
        <w:t>27. References</w:t>
        <w:tab/>
        <w:t>24</w:t>
      </w:r>
      <w:r>
        <w:fldChar w:fldCharType="end"/>
      </w:r>
    </w:p>
    <w:p>
      <w:r>
        <w:br w:type="page"/>
      </w:r>
    </w:p>
    <w:p>
      <w:pPr>
        <w:pStyle w:val="Heading1"/>
      </w:pPr>
      <w:r>
        <w:t>1. Introduction</w:t>
      </w:r>
    </w:p>
    <w:p>
      <w:r>
        <w:rPr>
          <w:b w:val="0"/>
          <w:i w:val="0"/>
        </w:rPr>
        <w:t>E-commerce businesses record every order: who bought, what was bought, how much it cost, how it was shipped and what happened to the shipment. These records are valuable only when they are turned into answers for managers: which products earn the most, where sales are strong or weak, and where operational problems such as returns occur.</w:t>
      </w:r>
    </w:p>
    <w:p>
      <w:r>
        <w:rPr>
          <w:b w:val="0"/>
          <w:i w:val="0"/>
        </w:rPr>
        <w:t>This project develops a Python-based analytics application for such data. It processes 1,000 historical transactions, performs exploratory and statistical analysis, and presents the results in an interactive dashboard so that a non-technical business user can monitor revenue, quantity, product performance, customer demographics, regional sales and shipping outcomes.</w:t>
      </w:r>
    </w:p>
    <w:p>
      <w:pPr>
        <w:pStyle w:val="Heading1"/>
      </w:pPr>
      <w:r>
        <w:t>2. Background</w:t>
      </w:r>
    </w:p>
    <w:p>
      <w:r>
        <w:rPr>
          <w:b w:val="0"/>
          <w:i w:val="0"/>
        </w:rPr>
        <w:t>Data-driven decision making means replacing intuition with measured evidence. For an online retailer, three questions recur: (1) What is selling? (2) To whom and where? (3) Is fulfilment working? Spreadsheet summaries answer these only for a single fixed view. A dashboard with filters lets users change the view (for example, only the West region or only Electronics) and see all indicators update instantly.</w:t>
      </w:r>
    </w:p>
    <w:p>
      <w:r>
        <w:rPr>
          <w:b w:val="0"/>
          <w:i w:val="0"/>
        </w:rPr>
        <w:t>Python is widely used for this work because of its data libraries. pandas handles data preparation, NumPy and SciPy provide numerical and statistical functions, and Plotly with Streamlit allows an interactive web dashboard to be written entirely in Python without separate frontend or backend code.</w:t>
      </w:r>
    </w:p>
    <w:p>
      <w:pPr>
        <w:pStyle w:val="Heading1"/>
      </w:pPr>
      <w:r>
        <w:t>3. Problem Statement</w:t>
      </w:r>
    </w:p>
    <w:p>
      <w:r>
        <w:rPr>
          <w:b w:val="0"/>
          <w:i/>
        </w:rPr>
        <w:t>An e-commerce business has accumulated sales and order data but lacks a centralized analytical system to understand sales performance, customer behavior, product/category performance, regional trends, and shipping outcomes. The objective of this project is to develop a Python-based interactive analytics application that processes historical e-commerce transaction data, performs exploratory and statistical analysis, identifies important business trends and underperforming areas, and presents actionable insights through an interactive frontend dashboard. The system should help business users monitor revenue, order quantity, product performance, customer demographics, regional sales, and shipping status to support data-driven business decisions.</w:t>
      </w:r>
    </w:p>
    <w:p>
      <w:pPr>
        <w:pStyle w:val="Heading1"/>
      </w:pPr>
      <w:r>
        <w:t>4. Objectives</w:t>
      </w:r>
    </w:p>
    <w:p>
      <w:pPr>
        <w:pStyle w:val="ListBullet"/>
      </w:pPr>
      <w:r>
        <w:t>Load, profile and clean the transaction data, documenting every cleaning decision.</w:t>
      </w:r>
    </w:p>
    <w:p>
      <w:pPr>
        <w:pStyle w:val="ListBullet"/>
      </w:pPr>
      <w:r>
        <w:t>Calculate sales, order, customer and shipping KPIs without double counting.</w:t>
      </w:r>
    </w:p>
    <w:p>
      <w:pPr>
        <w:pStyle w:val="ListBullet"/>
      </w:pPr>
      <w:r>
        <w:t>Analyse performance by product, category, region, customer group (age and gender) and time.</w:t>
      </w:r>
    </w:p>
    <w:p>
      <w:pPr>
        <w:pStyle w:val="ListBullet"/>
      </w:pPr>
      <w:r>
        <w:t>Analyse shipping status and return rates, using confidence intervals and statistical tests to judge whether differences are real.</w:t>
      </w:r>
    </w:p>
    <w:p>
      <w:pPr>
        <w:pStyle w:val="ListBullet"/>
      </w:pPr>
      <w:r>
        <w:t>Build an interactive Streamlit dashboard with filters, charts and automatically generated insights.</w:t>
      </w:r>
    </w:p>
    <w:p>
      <w:pPr>
        <w:pStyle w:val="ListBullet"/>
      </w:pPr>
      <w:r>
        <w:t>Provide evidence-based business recommendations and state the limitations of the data.</w:t>
      </w:r>
    </w:p>
    <w:p>
      <w:pPr>
        <w:pStyle w:val="Heading1"/>
      </w:pPr>
      <w:r>
        <w:t>5. Scope of the Project</w:t>
      </w:r>
    </w:p>
    <w:p>
      <w:r>
        <w:rPr>
          <w:b w:val="0"/>
          <w:i w:val="0"/>
        </w:rPr>
        <w:t>In scope: historical analysis (descriptive and diagnostic) of the supplied CSV file; a six-page dashboard; automatically generated insights; hypothesis tests on shipping status and order value. Out of scope: forecasting or machine-learning models, real-time data feeds, a database back end, profit analysis (cost data are not available), and any analysis requiring fields that are not in the file (for example Order ID, payment method, customer location below region, or currency).</w:t>
      </w:r>
    </w:p>
    <w:p>
      <w:pPr>
        <w:pStyle w:val="Heading1"/>
      </w:pPr>
      <w:r>
        <w:t>6. Dataset Description</w:t>
      </w:r>
    </w:p>
    <w:p>
      <w:r>
        <w:rPr>
          <w:b w:val="0"/>
          <w:i w:val="0"/>
        </w:rPr>
        <w:t>The dataset file realistic_e_commerce_sales_data.csv was provided with the project. It has 1,000 rows and 12 columns and covers orders from 01 January 2023 to 03 January 2024. It does not have a public source URL, so none is cited. Each row is treated as one order because the file has no Order ID.</w:t>
      </w:r>
    </w:p>
    <w:p>
      <w:pPr>
        <w:keepNext/>
      </w:pPr>
      <w:r>
        <w:rPr>
          <w:b/>
          <w:i w:val="0"/>
          <w:sz w:val="20"/>
        </w:rPr>
        <w:t>Table 1: Structure of the raw dataset (inspected from the CSV)</w:t>
      </w:r>
    </w:p>
    <w:tbl>
      <w:tblPr>
        <w:tblStyle w:val="TableGrid"/>
        <w:tblW w:type="auto" w:w="0"/>
        <w:jc w:val="center"/>
        <w:tblLayout w:type="fixed"/>
        <w:tblLook w:firstColumn="1" w:firstRow="1" w:lastColumn="0" w:lastRow="0" w:noHBand="0" w:noVBand="1" w:val="04A0"/>
      </w:tblPr>
      <w:tblGrid>
        <w:gridCol w:w="2448"/>
        <w:gridCol w:w="1296"/>
        <w:gridCol w:w="1296"/>
        <w:gridCol w:w="1152"/>
        <w:gridCol w:w="1296"/>
        <w:gridCol w:w="1152"/>
      </w:tblGrid>
      <w:tr>
        <w:trPr>
          <w:tblHeader w:val="true"/>
        </w:trPr>
        <w:tc>
          <w:tcPr>
            <w:tcW w:type="dxa" w:w="2448"/>
            <w:shd w:val="clear" w:color="auto" w:fill="1F3864"/>
          </w:tcPr>
          <w:p>
            <w:r/>
            <w:r>
              <w:rPr>
                <w:b/>
                <w:color w:val="FFFFFF"/>
                <w:sz w:val="18"/>
              </w:rPr>
              <w:t>Column</w:t>
            </w:r>
          </w:p>
        </w:tc>
        <w:tc>
          <w:tcPr>
            <w:tcW w:type="dxa" w:w="1296"/>
            <w:shd w:val="clear" w:color="auto" w:fill="1F3864"/>
          </w:tcPr>
          <w:p>
            <w:r/>
            <w:r>
              <w:rPr>
                <w:b/>
                <w:color w:val="FFFFFF"/>
                <w:sz w:val="18"/>
              </w:rPr>
              <w:t>Type</w:t>
            </w:r>
          </w:p>
        </w:tc>
        <w:tc>
          <w:tcPr>
            <w:tcW w:type="dxa" w:w="1296"/>
            <w:shd w:val="clear" w:color="auto" w:fill="1F3864"/>
          </w:tcPr>
          <w:p>
            <w:r/>
            <w:r>
              <w:rPr>
                <w:b/>
                <w:color w:val="FFFFFF"/>
                <w:sz w:val="18"/>
              </w:rPr>
              <w:t>Non-null</w:t>
            </w:r>
          </w:p>
        </w:tc>
        <w:tc>
          <w:tcPr>
            <w:tcW w:type="dxa" w:w="1152"/>
            <w:shd w:val="clear" w:color="auto" w:fill="1F3864"/>
          </w:tcPr>
          <w:p>
            <w:r/>
            <w:r>
              <w:rPr>
                <w:b/>
                <w:color w:val="FFFFFF"/>
                <w:sz w:val="18"/>
              </w:rPr>
              <w:t>Missing</w:t>
            </w:r>
          </w:p>
        </w:tc>
        <w:tc>
          <w:tcPr>
            <w:tcW w:type="dxa" w:w="1296"/>
            <w:shd w:val="clear" w:color="auto" w:fill="1F3864"/>
          </w:tcPr>
          <w:p>
            <w:r/>
            <w:r>
              <w:rPr>
                <w:b/>
                <w:color w:val="FFFFFF"/>
                <w:sz w:val="18"/>
              </w:rPr>
              <w:t>Missing %</w:t>
            </w:r>
          </w:p>
        </w:tc>
        <w:tc>
          <w:tcPr>
            <w:tcW w:type="dxa" w:w="1152"/>
            <w:shd w:val="clear" w:color="auto" w:fill="1F3864"/>
          </w:tcPr>
          <w:p>
            <w:r/>
            <w:r>
              <w:rPr>
                <w:b/>
                <w:color w:val="FFFFFF"/>
                <w:sz w:val="18"/>
              </w:rPr>
              <w:t>Unique</w:t>
            </w:r>
          </w:p>
        </w:tc>
      </w:tr>
      <w:tr>
        <w:tc>
          <w:tcPr>
            <w:tcW w:type="dxa" w:w="2448"/>
          </w:tcPr>
          <w:p>
            <w:r/>
            <w:r>
              <w:rPr>
                <w:sz w:val="18"/>
              </w:rPr>
              <w:t>Customer ID</w:t>
            </w:r>
          </w:p>
        </w:tc>
        <w:tc>
          <w:tcPr>
            <w:tcW w:type="dxa" w:w="1296"/>
          </w:tcPr>
          <w:p>
            <w:r/>
            <w:r>
              <w:rPr>
                <w:sz w:val="18"/>
              </w:rPr>
              <w:t>str</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292</w:t>
            </w:r>
          </w:p>
        </w:tc>
      </w:tr>
      <w:tr>
        <w:tc>
          <w:tcPr>
            <w:tcW w:type="dxa" w:w="2448"/>
          </w:tcPr>
          <w:p>
            <w:r/>
            <w:r>
              <w:rPr>
                <w:sz w:val="18"/>
              </w:rPr>
              <w:t>Gender</w:t>
            </w:r>
          </w:p>
        </w:tc>
        <w:tc>
          <w:tcPr>
            <w:tcW w:type="dxa" w:w="1296"/>
          </w:tcPr>
          <w:p>
            <w:r/>
            <w:r>
              <w:rPr>
                <w:sz w:val="18"/>
              </w:rPr>
              <w:t>str</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2</w:t>
            </w:r>
          </w:p>
        </w:tc>
      </w:tr>
      <w:tr>
        <w:tc>
          <w:tcPr>
            <w:tcW w:type="dxa" w:w="2448"/>
          </w:tcPr>
          <w:p>
            <w:r/>
            <w:r>
              <w:rPr>
                <w:sz w:val="18"/>
              </w:rPr>
              <w:t>Region</w:t>
            </w:r>
          </w:p>
        </w:tc>
        <w:tc>
          <w:tcPr>
            <w:tcW w:type="dxa" w:w="1296"/>
          </w:tcPr>
          <w:p>
            <w:r/>
            <w:r>
              <w:rPr>
                <w:sz w:val="18"/>
              </w:rPr>
              <w:t>str</w:t>
            </w:r>
          </w:p>
        </w:tc>
        <w:tc>
          <w:tcPr>
            <w:tcW w:type="dxa" w:w="1296"/>
          </w:tcPr>
          <w:p>
            <w:pPr>
              <w:jc w:val="right"/>
            </w:pPr>
            <w:r/>
            <w:r>
              <w:rPr>
                <w:sz w:val="18"/>
              </w:rPr>
              <w:t>950</w:t>
            </w:r>
          </w:p>
        </w:tc>
        <w:tc>
          <w:tcPr>
            <w:tcW w:type="dxa" w:w="1152"/>
          </w:tcPr>
          <w:p>
            <w:pPr>
              <w:jc w:val="right"/>
            </w:pPr>
            <w:r/>
            <w:r>
              <w:rPr>
                <w:sz w:val="18"/>
              </w:rPr>
              <w:t>50</w:t>
            </w:r>
          </w:p>
        </w:tc>
        <w:tc>
          <w:tcPr>
            <w:tcW w:type="dxa" w:w="1296"/>
          </w:tcPr>
          <w:p>
            <w:pPr>
              <w:jc w:val="right"/>
            </w:pPr>
            <w:r/>
            <w:r>
              <w:rPr>
                <w:sz w:val="18"/>
              </w:rPr>
              <w:t>5.0</w:t>
            </w:r>
          </w:p>
        </w:tc>
        <w:tc>
          <w:tcPr>
            <w:tcW w:type="dxa" w:w="1152"/>
          </w:tcPr>
          <w:p>
            <w:pPr>
              <w:jc w:val="right"/>
            </w:pPr>
            <w:r/>
            <w:r>
              <w:rPr>
                <w:sz w:val="18"/>
              </w:rPr>
              <w:t>4</w:t>
            </w:r>
          </w:p>
        </w:tc>
      </w:tr>
      <w:tr>
        <w:tc>
          <w:tcPr>
            <w:tcW w:type="dxa" w:w="2448"/>
          </w:tcPr>
          <w:p>
            <w:r/>
            <w:r>
              <w:rPr>
                <w:sz w:val="18"/>
              </w:rPr>
              <w:t>Age</w:t>
            </w:r>
          </w:p>
        </w:tc>
        <w:tc>
          <w:tcPr>
            <w:tcW w:type="dxa" w:w="1296"/>
          </w:tcPr>
          <w:p>
            <w:r/>
            <w:r>
              <w:rPr>
                <w:sz w:val="18"/>
              </w:rPr>
              <w:t>float64</w:t>
            </w:r>
          </w:p>
        </w:tc>
        <w:tc>
          <w:tcPr>
            <w:tcW w:type="dxa" w:w="1296"/>
          </w:tcPr>
          <w:p>
            <w:pPr>
              <w:jc w:val="right"/>
            </w:pPr>
            <w:r/>
            <w:r>
              <w:rPr>
                <w:sz w:val="18"/>
              </w:rPr>
              <w:t>900</w:t>
            </w:r>
          </w:p>
        </w:tc>
        <w:tc>
          <w:tcPr>
            <w:tcW w:type="dxa" w:w="1152"/>
          </w:tcPr>
          <w:p>
            <w:pPr>
              <w:jc w:val="right"/>
            </w:pPr>
            <w:r/>
            <w:r>
              <w:rPr>
                <w:sz w:val="18"/>
              </w:rPr>
              <w:t>100</w:t>
            </w:r>
          </w:p>
        </w:tc>
        <w:tc>
          <w:tcPr>
            <w:tcW w:type="dxa" w:w="1296"/>
          </w:tcPr>
          <w:p>
            <w:pPr>
              <w:jc w:val="right"/>
            </w:pPr>
            <w:r/>
            <w:r>
              <w:rPr>
                <w:sz w:val="18"/>
              </w:rPr>
              <w:t>10.0</w:t>
            </w:r>
          </w:p>
        </w:tc>
        <w:tc>
          <w:tcPr>
            <w:tcW w:type="dxa" w:w="1152"/>
          </w:tcPr>
          <w:p>
            <w:pPr>
              <w:jc w:val="right"/>
            </w:pPr>
            <w:r/>
            <w:r>
              <w:rPr>
                <w:sz w:val="18"/>
              </w:rPr>
              <w:t>52</w:t>
            </w:r>
          </w:p>
        </w:tc>
      </w:tr>
      <w:tr>
        <w:tc>
          <w:tcPr>
            <w:tcW w:type="dxa" w:w="2448"/>
          </w:tcPr>
          <w:p>
            <w:r/>
            <w:r>
              <w:rPr>
                <w:sz w:val="18"/>
              </w:rPr>
              <w:t>Product Name</w:t>
            </w:r>
          </w:p>
        </w:tc>
        <w:tc>
          <w:tcPr>
            <w:tcW w:type="dxa" w:w="1296"/>
          </w:tcPr>
          <w:p>
            <w:r/>
            <w:r>
              <w:rPr>
                <w:sz w:val="18"/>
              </w:rPr>
              <w:t>str</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7</w:t>
            </w:r>
          </w:p>
        </w:tc>
      </w:tr>
      <w:tr>
        <w:tc>
          <w:tcPr>
            <w:tcW w:type="dxa" w:w="2448"/>
          </w:tcPr>
          <w:p>
            <w:r/>
            <w:r>
              <w:rPr>
                <w:sz w:val="18"/>
              </w:rPr>
              <w:t>Category</w:t>
            </w:r>
          </w:p>
        </w:tc>
        <w:tc>
          <w:tcPr>
            <w:tcW w:type="dxa" w:w="1296"/>
          </w:tcPr>
          <w:p>
            <w:r/>
            <w:r>
              <w:rPr>
                <w:sz w:val="18"/>
              </w:rPr>
              <w:t>str</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3</w:t>
            </w:r>
          </w:p>
        </w:tc>
      </w:tr>
      <w:tr>
        <w:tc>
          <w:tcPr>
            <w:tcW w:type="dxa" w:w="2448"/>
          </w:tcPr>
          <w:p>
            <w:r/>
            <w:r>
              <w:rPr>
                <w:sz w:val="18"/>
              </w:rPr>
              <w:t>Unit Price</w:t>
            </w:r>
          </w:p>
        </w:tc>
        <w:tc>
          <w:tcPr>
            <w:tcW w:type="dxa" w:w="1296"/>
          </w:tcPr>
          <w:p>
            <w:r/>
            <w:r>
              <w:rPr>
                <w:sz w:val="18"/>
              </w:rPr>
              <w:t>float64</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13</w:t>
            </w:r>
          </w:p>
        </w:tc>
      </w:tr>
      <w:tr>
        <w:tc>
          <w:tcPr>
            <w:tcW w:type="dxa" w:w="2448"/>
          </w:tcPr>
          <w:p>
            <w:r/>
            <w:r>
              <w:rPr>
                <w:sz w:val="18"/>
              </w:rPr>
              <w:t>Quantity</w:t>
            </w:r>
          </w:p>
        </w:tc>
        <w:tc>
          <w:tcPr>
            <w:tcW w:type="dxa" w:w="1296"/>
          </w:tcPr>
          <w:p>
            <w:r/>
            <w:r>
              <w:rPr>
                <w:sz w:val="18"/>
              </w:rPr>
              <w:t>int64</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5</w:t>
            </w:r>
          </w:p>
        </w:tc>
      </w:tr>
      <w:tr>
        <w:tc>
          <w:tcPr>
            <w:tcW w:type="dxa" w:w="2448"/>
          </w:tcPr>
          <w:p>
            <w:r/>
            <w:r>
              <w:rPr>
                <w:sz w:val="18"/>
              </w:rPr>
              <w:t>Total Price</w:t>
            </w:r>
          </w:p>
        </w:tc>
        <w:tc>
          <w:tcPr>
            <w:tcW w:type="dxa" w:w="1296"/>
          </w:tcPr>
          <w:p>
            <w:r/>
            <w:r>
              <w:rPr>
                <w:sz w:val="18"/>
              </w:rPr>
              <w:t>int64</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26</w:t>
            </w:r>
          </w:p>
        </w:tc>
      </w:tr>
      <w:tr>
        <w:tc>
          <w:tcPr>
            <w:tcW w:type="dxa" w:w="2448"/>
          </w:tcPr>
          <w:p>
            <w:r/>
            <w:r>
              <w:rPr>
                <w:sz w:val="18"/>
              </w:rPr>
              <w:t>Shipping Fee</w:t>
            </w:r>
          </w:p>
        </w:tc>
        <w:tc>
          <w:tcPr>
            <w:tcW w:type="dxa" w:w="1296"/>
          </w:tcPr>
          <w:p>
            <w:r/>
            <w:r>
              <w:rPr>
                <w:sz w:val="18"/>
              </w:rPr>
              <w:t>float64</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730</w:t>
            </w:r>
          </w:p>
        </w:tc>
      </w:tr>
      <w:tr>
        <w:tc>
          <w:tcPr>
            <w:tcW w:type="dxa" w:w="2448"/>
          </w:tcPr>
          <w:p>
            <w:r/>
            <w:r>
              <w:rPr>
                <w:sz w:val="18"/>
              </w:rPr>
              <w:t>Shipping Status</w:t>
            </w:r>
          </w:p>
        </w:tc>
        <w:tc>
          <w:tcPr>
            <w:tcW w:type="dxa" w:w="1296"/>
          </w:tcPr>
          <w:p>
            <w:r/>
            <w:r>
              <w:rPr>
                <w:sz w:val="18"/>
              </w:rPr>
              <w:t>str</w:t>
            </w:r>
          </w:p>
        </w:tc>
        <w:tc>
          <w:tcPr>
            <w:tcW w:type="dxa" w:w="1296"/>
          </w:tcPr>
          <w:p>
            <w:pPr>
              <w:jc w:val="right"/>
            </w:pPr>
            <w:r/>
            <w:r>
              <w:rPr>
                <w:sz w:val="18"/>
              </w:rPr>
              <w:t>950</w:t>
            </w:r>
          </w:p>
        </w:tc>
        <w:tc>
          <w:tcPr>
            <w:tcW w:type="dxa" w:w="1152"/>
          </w:tcPr>
          <w:p>
            <w:pPr>
              <w:jc w:val="right"/>
            </w:pPr>
            <w:r/>
            <w:r>
              <w:rPr>
                <w:sz w:val="18"/>
              </w:rPr>
              <w:t>50</w:t>
            </w:r>
          </w:p>
        </w:tc>
        <w:tc>
          <w:tcPr>
            <w:tcW w:type="dxa" w:w="1296"/>
          </w:tcPr>
          <w:p>
            <w:pPr>
              <w:jc w:val="right"/>
            </w:pPr>
            <w:r/>
            <w:r>
              <w:rPr>
                <w:sz w:val="18"/>
              </w:rPr>
              <w:t>5.0</w:t>
            </w:r>
          </w:p>
        </w:tc>
        <w:tc>
          <w:tcPr>
            <w:tcW w:type="dxa" w:w="1152"/>
          </w:tcPr>
          <w:p>
            <w:pPr>
              <w:jc w:val="right"/>
            </w:pPr>
            <w:r/>
            <w:r>
              <w:rPr>
                <w:sz w:val="18"/>
              </w:rPr>
              <w:t>3</w:t>
            </w:r>
          </w:p>
        </w:tc>
      </w:tr>
      <w:tr>
        <w:tc>
          <w:tcPr>
            <w:tcW w:type="dxa" w:w="2448"/>
          </w:tcPr>
          <w:p>
            <w:r/>
            <w:r>
              <w:rPr>
                <w:sz w:val="18"/>
              </w:rPr>
              <w:t>Order Date</w:t>
            </w:r>
          </w:p>
        </w:tc>
        <w:tc>
          <w:tcPr>
            <w:tcW w:type="dxa" w:w="1296"/>
          </w:tcPr>
          <w:p>
            <w:r/>
            <w:r>
              <w:rPr>
                <w:sz w:val="18"/>
              </w:rPr>
              <w:t>str</w:t>
            </w:r>
          </w:p>
        </w:tc>
        <w:tc>
          <w:tcPr>
            <w:tcW w:type="dxa" w:w="1296"/>
          </w:tcPr>
          <w:p>
            <w:pPr>
              <w:jc w:val="right"/>
            </w:pPr>
            <w:r/>
            <w:r>
              <w:rPr>
                <w:sz w:val="18"/>
              </w:rPr>
              <w:t>1000</w:t>
            </w:r>
          </w:p>
        </w:tc>
        <w:tc>
          <w:tcPr>
            <w:tcW w:type="dxa" w:w="1152"/>
          </w:tcPr>
          <w:p>
            <w:pPr>
              <w:jc w:val="right"/>
            </w:pPr>
            <w:r/>
            <w:r>
              <w:rPr>
                <w:sz w:val="18"/>
              </w:rPr>
              <w:t>0</w:t>
            </w:r>
          </w:p>
        </w:tc>
        <w:tc>
          <w:tcPr>
            <w:tcW w:type="dxa" w:w="1296"/>
          </w:tcPr>
          <w:p>
            <w:pPr>
              <w:jc w:val="right"/>
            </w:pPr>
            <w:r/>
            <w:r>
              <w:rPr>
                <w:sz w:val="18"/>
              </w:rPr>
              <w:t>0.0</w:t>
            </w:r>
          </w:p>
        </w:tc>
        <w:tc>
          <w:tcPr>
            <w:tcW w:type="dxa" w:w="1152"/>
          </w:tcPr>
          <w:p>
            <w:pPr>
              <w:jc w:val="right"/>
            </w:pPr>
            <w:r/>
            <w:r>
              <w:rPr>
                <w:sz w:val="18"/>
              </w:rPr>
              <w:t>340</w:t>
            </w:r>
          </w:p>
        </w:tc>
      </w:tr>
    </w:tbl>
    <w:p>
      <w:pPr>
        <w:spacing w:after="40"/>
      </w:pPr>
    </w:p>
    <w:p>
      <w:r>
        <w:rPr>
          <w:b w:val="0"/>
          <w:i w:val="0"/>
        </w:rPr>
        <w:t>Duplicate rows: 0. Numeric columns: Age, Unit Price, Quantity, Total Price, Shipping Fee. Text/date columns: Customer ID, Gender, Region, Product Name, Category, Shipping Status, Order Date (Order Date is stored as text in dd-mm-yyyy format and was converted to a date).</w:t>
      </w:r>
    </w:p>
    <w:p>
      <w:pPr>
        <w:keepNext/>
        <w:jc w:val="center"/>
      </w:pPr>
      <w:r>
        <w:drawing>
          <wp:inline xmlns:a="http://schemas.openxmlformats.org/drawingml/2006/main" xmlns:pic="http://schemas.openxmlformats.org/drawingml/2006/picture">
            <wp:extent cx="4754880" cy="2535936"/>
            <wp:docPr id="1" name="Picture 1"/>
            <wp:cNvGraphicFramePr>
              <a:graphicFrameLocks noChangeAspect="1"/>
            </wp:cNvGraphicFramePr>
            <a:graphic>
              <a:graphicData uri="http://schemas.openxmlformats.org/drawingml/2006/picture">
                <pic:pic>
                  <pic:nvPicPr>
                    <pic:cNvPr id="0" name="fig01_missing.png"/>
                    <pic:cNvPicPr/>
                  </pic:nvPicPr>
                  <pic:blipFill>
                    <a:blip r:embed="rId11"/>
                    <a:stretch>
                      <a:fillRect/>
                    </a:stretch>
                  </pic:blipFill>
                  <pic:spPr>
                    <a:xfrm>
                      <a:off x="0" y="0"/>
                      <a:ext cx="4754880" cy="2535936"/>
                    </a:xfrm>
                    <a:prstGeom prst="rect"/>
                  </pic:spPr>
                </pic:pic>
              </a:graphicData>
            </a:graphic>
          </wp:inline>
        </w:drawing>
      </w:r>
    </w:p>
    <w:p>
      <w:pPr>
        <w:jc w:val="center"/>
      </w:pPr>
      <w:r>
        <w:rPr>
          <w:b/>
          <w:i/>
          <w:sz w:val="20"/>
        </w:rPr>
        <w:t>Figure 1: Missing values per column in the raw data</w:t>
      </w:r>
    </w:p>
    <w:p>
      <w:r>
        <w:rPr>
          <w:b w:val="0"/>
          <w:i w:val="0"/>
        </w:rPr>
        <w:t>Three columns have missing values: Age (100), Region (50) and Shipping Status (50). All other columns are complete.</w:t>
      </w:r>
    </w:p>
    <w:p>
      <w:pPr>
        <w:pStyle w:val="Heading1"/>
      </w:pPr>
      <w:r>
        <w:t>7. Data Dictionary</w:t>
      </w:r>
    </w:p>
    <w:p>
      <w:pPr>
        <w:keepNext/>
      </w:pPr>
      <w:r>
        <w:rPr>
          <w:b/>
          <w:i w:val="0"/>
          <w:sz w:val="20"/>
        </w:rPr>
        <w:t>Table 2: Data dictionary</w:t>
      </w:r>
    </w:p>
    <w:tbl>
      <w:tblPr>
        <w:tblStyle w:val="TableGrid"/>
        <w:tblW w:type="auto" w:w="0"/>
        <w:jc w:val="center"/>
        <w:tblLayout w:type="fixed"/>
        <w:tblLook w:firstColumn="1" w:firstRow="1" w:lastColumn="0" w:lastRow="0" w:noHBand="0" w:noVBand="1" w:val="04A0"/>
      </w:tblPr>
      <w:tblGrid>
        <w:gridCol w:w="1872"/>
        <w:gridCol w:w="5184"/>
        <w:gridCol w:w="1152"/>
        <w:gridCol w:w="1008"/>
      </w:tblGrid>
      <w:tr>
        <w:trPr>
          <w:tblHeader w:val="true"/>
        </w:trPr>
        <w:tc>
          <w:tcPr>
            <w:tcW w:type="dxa" w:w="1872"/>
            <w:shd w:val="clear" w:color="auto" w:fill="1F3864"/>
          </w:tcPr>
          <w:p>
            <w:r/>
            <w:r>
              <w:rPr>
                <w:b/>
                <w:color w:val="FFFFFF"/>
                <w:sz w:val="18"/>
              </w:rPr>
              <w:t>Column</w:t>
            </w:r>
          </w:p>
        </w:tc>
        <w:tc>
          <w:tcPr>
            <w:tcW w:type="dxa" w:w="5184"/>
            <w:shd w:val="clear" w:color="auto" w:fill="1F3864"/>
          </w:tcPr>
          <w:p>
            <w:r/>
            <w:r>
              <w:rPr>
                <w:b/>
                <w:color w:val="FFFFFF"/>
                <w:sz w:val="18"/>
              </w:rPr>
              <w:t>Description</w:t>
            </w:r>
          </w:p>
        </w:tc>
        <w:tc>
          <w:tcPr>
            <w:tcW w:type="dxa" w:w="1152"/>
            <w:shd w:val="clear" w:color="auto" w:fill="1F3864"/>
          </w:tcPr>
          <w:p>
            <w:r/>
            <w:r>
              <w:rPr>
                <w:b/>
                <w:color w:val="FFFFFF"/>
                <w:sz w:val="18"/>
              </w:rPr>
              <w:t>Raw type</w:t>
            </w:r>
          </w:p>
        </w:tc>
        <w:tc>
          <w:tcPr>
            <w:tcW w:type="dxa" w:w="1008"/>
            <w:shd w:val="clear" w:color="auto" w:fill="1F3864"/>
          </w:tcPr>
          <w:p>
            <w:r/>
            <w:r>
              <w:rPr>
                <w:b/>
                <w:color w:val="FFFFFF"/>
                <w:sz w:val="18"/>
              </w:rPr>
              <w:t>Missing</w:t>
            </w:r>
          </w:p>
        </w:tc>
      </w:tr>
      <w:tr>
        <w:tc>
          <w:tcPr>
            <w:tcW w:type="dxa" w:w="1872"/>
          </w:tcPr>
          <w:p>
            <w:r/>
            <w:r>
              <w:rPr>
                <w:sz w:val="18"/>
              </w:rPr>
              <w:t>Customer ID</w:t>
            </w:r>
          </w:p>
        </w:tc>
        <w:tc>
          <w:tcPr>
            <w:tcW w:type="dxa" w:w="5184"/>
          </w:tcPr>
          <w:p>
            <w:r/>
            <w:r>
              <w:rPr>
                <w:sz w:val="18"/>
              </w:rPr>
              <w:t>Customer identifier (CUSTxxxx). Repeats across orders.</w:t>
            </w:r>
          </w:p>
        </w:tc>
        <w:tc>
          <w:tcPr>
            <w:tcW w:type="dxa" w:w="1152"/>
          </w:tcPr>
          <w:p>
            <w:r/>
            <w:r>
              <w:rPr>
                <w:sz w:val="18"/>
              </w:rPr>
              <w:t>str</w:t>
            </w:r>
          </w:p>
        </w:tc>
        <w:tc>
          <w:tcPr>
            <w:tcW w:type="dxa" w:w="1008"/>
          </w:tcPr>
          <w:p>
            <w:pPr>
              <w:jc w:val="right"/>
            </w:pPr>
            <w:r/>
            <w:r>
              <w:rPr>
                <w:sz w:val="18"/>
              </w:rPr>
              <w:t>0</w:t>
            </w:r>
          </w:p>
        </w:tc>
      </w:tr>
      <w:tr>
        <w:tc>
          <w:tcPr>
            <w:tcW w:type="dxa" w:w="1872"/>
          </w:tcPr>
          <w:p>
            <w:r/>
            <w:r>
              <w:rPr>
                <w:sz w:val="18"/>
              </w:rPr>
              <w:t>Gender</w:t>
            </w:r>
          </w:p>
        </w:tc>
        <w:tc>
          <w:tcPr>
            <w:tcW w:type="dxa" w:w="5184"/>
          </w:tcPr>
          <w:p>
            <w:r/>
            <w:r>
              <w:rPr>
                <w:sz w:val="18"/>
              </w:rPr>
              <w:t>Customer gender (Male/Female).</w:t>
            </w:r>
          </w:p>
        </w:tc>
        <w:tc>
          <w:tcPr>
            <w:tcW w:type="dxa" w:w="1152"/>
          </w:tcPr>
          <w:p>
            <w:r/>
            <w:r>
              <w:rPr>
                <w:sz w:val="18"/>
              </w:rPr>
              <w:t>str</w:t>
            </w:r>
          </w:p>
        </w:tc>
        <w:tc>
          <w:tcPr>
            <w:tcW w:type="dxa" w:w="1008"/>
          </w:tcPr>
          <w:p>
            <w:pPr>
              <w:jc w:val="right"/>
            </w:pPr>
            <w:r/>
            <w:r>
              <w:rPr>
                <w:sz w:val="18"/>
              </w:rPr>
              <w:t>0</w:t>
            </w:r>
          </w:p>
        </w:tc>
      </w:tr>
      <w:tr>
        <w:tc>
          <w:tcPr>
            <w:tcW w:type="dxa" w:w="1872"/>
          </w:tcPr>
          <w:p>
            <w:r/>
            <w:r>
              <w:rPr>
                <w:sz w:val="18"/>
              </w:rPr>
              <w:t>Region</w:t>
            </w:r>
          </w:p>
        </w:tc>
        <w:tc>
          <w:tcPr>
            <w:tcW w:type="dxa" w:w="5184"/>
          </w:tcPr>
          <w:p>
            <w:r/>
            <w:r>
              <w:rPr>
                <w:sz w:val="18"/>
              </w:rPr>
              <w:t>Sales region of the order (East, North, South, West).</w:t>
            </w:r>
          </w:p>
        </w:tc>
        <w:tc>
          <w:tcPr>
            <w:tcW w:type="dxa" w:w="1152"/>
          </w:tcPr>
          <w:p>
            <w:r/>
            <w:r>
              <w:rPr>
                <w:sz w:val="18"/>
              </w:rPr>
              <w:t>str</w:t>
            </w:r>
          </w:p>
        </w:tc>
        <w:tc>
          <w:tcPr>
            <w:tcW w:type="dxa" w:w="1008"/>
          </w:tcPr>
          <w:p>
            <w:pPr>
              <w:jc w:val="right"/>
            </w:pPr>
            <w:r/>
            <w:r>
              <w:rPr>
                <w:sz w:val="18"/>
              </w:rPr>
              <w:t>50</w:t>
            </w:r>
          </w:p>
        </w:tc>
      </w:tr>
      <w:tr>
        <w:tc>
          <w:tcPr>
            <w:tcW w:type="dxa" w:w="1872"/>
          </w:tcPr>
          <w:p>
            <w:r/>
            <w:r>
              <w:rPr>
                <w:sz w:val="18"/>
              </w:rPr>
              <w:t>Age</w:t>
            </w:r>
          </w:p>
        </w:tc>
        <w:tc>
          <w:tcPr>
            <w:tcW w:type="dxa" w:w="5184"/>
          </w:tcPr>
          <w:p>
            <w:r/>
            <w:r>
              <w:rPr>
                <w:sz w:val="18"/>
              </w:rPr>
              <w:t>Customer age in years.</w:t>
            </w:r>
          </w:p>
        </w:tc>
        <w:tc>
          <w:tcPr>
            <w:tcW w:type="dxa" w:w="1152"/>
          </w:tcPr>
          <w:p>
            <w:r/>
            <w:r>
              <w:rPr>
                <w:sz w:val="18"/>
              </w:rPr>
              <w:t>float64</w:t>
            </w:r>
          </w:p>
        </w:tc>
        <w:tc>
          <w:tcPr>
            <w:tcW w:type="dxa" w:w="1008"/>
          </w:tcPr>
          <w:p>
            <w:pPr>
              <w:jc w:val="right"/>
            </w:pPr>
            <w:r/>
            <w:r>
              <w:rPr>
                <w:sz w:val="18"/>
              </w:rPr>
              <w:t>100</w:t>
            </w:r>
          </w:p>
        </w:tc>
      </w:tr>
      <w:tr>
        <w:tc>
          <w:tcPr>
            <w:tcW w:type="dxa" w:w="1872"/>
          </w:tcPr>
          <w:p>
            <w:r/>
            <w:r>
              <w:rPr>
                <w:sz w:val="18"/>
              </w:rPr>
              <w:t>Product Name</w:t>
            </w:r>
          </w:p>
        </w:tc>
        <w:tc>
          <w:tcPr>
            <w:tcW w:type="dxa" w:w="5184"/>
          </w:tcPr>
          <w:p>
            <w:r/>
            <w:r>
              <w:rPr>
                <w:sz w:val="18"/>
              </w:rPr>
              <w:t>Product sold (7 products).</w:t>
            </w:r>
          </w:p>
        </w:tc>
        <w:tc>
          <w:tcPr>
            <w:tcW w:type="dxa" w:w="1152"/>
          </w:tcPr>
          <w:p>
            <w:r/>
            <w:r>
              <w:rPr>
                <w:sz w:val="18"/>
              </w:rPr>
              <w:t>str</w:t>
            </w:r>
          </w:p>
        </w:tc>
        <w:tc>
          <w:tcPr>
            <w:tcW w:type="dxa" w:w="1008"/>
          </w:tcPr>
          <w:p>
            <w:pPr>
              <w:jc w:val="right"/>
            </w:pPr>
            <w:r/>
            <w:r>
              <w:rPr>
                <w:sz w:val="18"/>
              </w:rPr>
              <w:t>0</w:t>
            </w:r>
          </w:p>
        </w:tc>
      </w:tr>
      <w:tr>
        <w:tc>
          <w:tcPr>
            <w:tcW w:type="dxa" w:w="1872"/>
          </w:tcPr>
          <w:p>
            <w:r/>
            <w:r>
              <w:rPr>
                <w:sz w:val="18"/>
              </w:rPr>
              <w:t>Category</w:t>
            </w:r>
          </w:p>
        </w:tc>
        <w:tc>
          <w:tcPr>
            <w:tcW w:type="dxa" w:w="5184"/>
          </w:tcPr>
          <w:p>
            <w:r/>
            <w:r>
              <w:rPr>
                <w:sz w:val="18"/>
              </w:rPr>
              <w:t>Product category (Accessories, Electronics, Wearables). Each product belongs to exactly one category.</w:t>
            </w:r>
          </w:p>
        </w:tc>
        <w:tc>
          <w:tcPr>
            <w:tcW w:type="dxa" w:w="1152"/>
          </w:tcPr>
          <w:p>
            <w:r/>
            <w:r>
              <w:rPr>
                <w:sz w:val="18"/>
              </w:rPr>
              <w:t>str</w:t>
            </w:r>
          </w:p>
        </w:tc>
        <w:tc>
          <w:tcPr>
            <w:tcW w:type="dxa" w:w="1008"/>
          </w:tcPr>
          <w:p>
            <w:pPr>
              <w:jc w:val="right"/>
            </w:pPr>
            <w:r/>
            <w:r>
              <w:rPr>
                <w:sz w:val="18"/>
              </w:rPr>
              <w:t>0</w:t>
            </w:r>
          </w:p>
        </w:tc>
      </w:tr>
      <w:tr>
        <w:tc>
          <w:tcPr>
            <w:tcW w:type="dxa" w:w="1872"/>
          </w:tcPr>
          <w:p>
            <w:r/>
            <w:r>
              <w:rPr>
                <w:sz w:val="18"/>
              </w:rPr>
              <w:t>Unit Price</w:t>
            </w:r>
          </w:p>
        </w:tc>
        <w:tc>
          <w:tcPr>
            <w:tcW w:type="dxa" w:w="5184"/>
          </w:tcPr>
          <w:p>
            <w:r/>
            <w:r>
              <w:rPr>
                <w:sz w:val="18"/>
              </w:rPr>
              <w:t>Price per unit.</w:t>
            </w:r>
          </w:p>
        </w:tc>
        <w:tc>
          <w:tcPr>
            <w:tcW w:type="dxa" w:w="1152"/>
          </w:tcPr>
          <w:p>
            <w:r/>
            <w:r>
              <w:rPr>
                <w:sz w:val="18"/>
              </w:rPr>
              <w:t>float64</w:t>
            </w:r>
          </w:p>
        </w:tc>
        <w:tc>
          <w:tcPr>
            <w:tcW w:type="dxa" w:w="1008"/>
          </w:tcPr>
          <w:p>
            <w:pPr>
              <w:jc w:val="right"/>
            </w:pPr>
            <w:r/>
            <w:r>
              <w:rPr>
                <w:sz w:val="18"/>
              </w:rPr>
              <w:t>0</w:t>
            </w:r>
          </w:p>
        </w:tc>
      </w:tr>
      <w:tr>
        <w:tc>
          <w:tcPr>
            <w:tcW w:type="dxa" w:w="1872"/>
          </w:tcPr>
          <w:p>
            <w:r/>
            <w:r>
              <w:rPr>
                <w:sz w:val="18"/>
              </w:rPr>
              <w:t>Quantity</w:t>
            </w:r>
          </w:p>
        </w:tc>
        <w:tc>
          <w:tcPr>
            <w:tcW w:type="dxa" w:w="5184"/>
          </w:tcPr>
          <w:p>
            <w:r/>
            <w:r>
              <w:rPr>
                <w:sz w:val="18"/>
              </w:rPr>
              <w:t>Units ordered (1-5).</w:t>
            </w:r>
          </w:p>
        </w:tc>
        <w:tc>
          <w:tcPr>
            <w:tcW w:type="dxa" w:w="1152"/>
          </w:tcPr>
          <w:p>
            <w:r/>
            <w:r>
              <w:rPr>
                <w:sz w:val="18"/>
              </w:rPr>
              <w:t>int64</w:t>
            </w:r>
          </w:p>
        </w:tc>
        <w:tc>
          <w:tcPr>
            <w:tcW w:type="dxa" w:w="1008"/>
          </w:tcPr>
          <w:p>
            <w:pPr>
              <w:jc w:val="right"/>
            </w:pPr>
            <w:r/>
            <w:r>
              <w:rPr>
                <w:sz w:val="18"/>
              </w:rPr>
              <w:t>0</w:t>
            </w:r>
          </w:p>
        </w:tc>
      </w:tr>
      <w:tr>
        <w:tc>
          <w:tcPr>
            <w:tcW w:type="dxa" w:w="1872"/>
          </w:tcPr>
          <w:p>
            <w:r/>
            <w:r>
              <w:rPr>
                <w:sz w:val="18"/>
              </w:rPr>
              <w:t>Total Price</w:t>
            </w:r>
          </w:p>
        </w:tc>
        <w:tc>
          <w:tcPr>
            <w:tcW w:type="dxa" w:w="5184"/>
          </w:tcPr>
          <w:p>
            <w:r/>
            <w:r>
              <w:rPr>
                <w:sz w:val="18"/>
              </w:rPr>
              <w:t>Order value = Unit Price x Quantity (product value only). Used as revenue.</w:t>
            </w:r>
          </w:p>
        </w:tc>
        <w:tc>
          <w:tcPr>
            <w:tcW w:type="dxa" w:w="1152"/>
          </w:tcPr>
          <w:p>
            <w:r/>
            <w:r>
              <w:rPr>
                <w:sz w:val="18"/>
              </w:rPr>
              <w:t>int64</w:t>
            </w:r>
          </w:p>
        </w:tc>
        <w:tc>
          <w:tcPr>
            <w:tcW w:type="dxa" w:w="1008"/>
          </w:tcPr>
          <w:p>
            <w:pPr>
              <w:jc w:val="right"/>
            </w:pPr>
            <w:r/>
            <w:r>
              <w:rPr>
                <w:sz w:val="18"/>
              </w:rPr>
              <w:t>0</w:t>
            </w:r>
          </w:p>
        </w:tc>
      </w:tr>
      <w:tr>
        <w:tc>
          <w:tcPr>
            <w:tcW w:type="dxa" w:w="1872"/>
          </w:tcPr>
          <w:p>
            <w:r/>
            <w:r>
              <w:rPr>
                <w:sz w:val="18"/>
              </w:rPr>
              <w:t>Shipping Fee</w:t>
            </w:r>
          </w:p>
        </w:tc>
        <w:tc>
          <w:tcPr>
            <w:tcW w:type="dxa" w:w="5184"/>
          </w:tcPr>
          <w:p>
            <w:r/>
            <w:r>
              <w:rPr>
                <w:sz w:val="18"/>
              </w:rPr>
              <w:t>Shipping charge for the order. Not part of Total Price.</w:t>
            </w:r>
          </w:p>
        </w:tc>
        <w:tc>
          <w:tcPr>
            <w:tcW w:type="dxa" w:w="1152"/>
          </w:tcPr>
          <w:p>
            <w:r/>
            <w:r>
              <w:rPr>
                <w:sz w:val="18"/>
              </w:rPr>
              <w:t>float64</w:t>
            </w:r>
          </w:p>
        </w:tc>
        <w:tc>
          <w:tcPr>
            <w:tcW w:type="dxa" w:w="1008"/>
          </w:tcPr>
          <w:p>
            <w:pPr>
              <w:jc w:val="right"/>
            </w:pPr>
            <w:r/>
            <w:r>
              <w:rPr>
                <w:sz w:val="18"/>
              </w:rPr>
              <w:t>0</w:t>
            </w:r>
          </w:p>
        </w:tc>
      </w:tr>
      <w:tr>
        <w:tc>
          <w:tcPr>
            <w:tcW w:type="dxa" w:w="1872"/>
          </w:tcPr>
          <w:p>
            <w:r/>
            <w:r>
              <w:rPr>
                <w:sz w:val="18"/>
              </w:rPr>
              <w:t>Shipping Status</w:t>
            </w:r>
          </w:p>
        </w:tc>
        <w:tc>
          <w:tcPr>
            <w:tcW w:type="dxa" w:w="5184"/>
          </w:tcPr>
          <w:p>
            <w:r/>
            <w:r>
              <w:rPr>
                <w:sz w:val="18"/>
              </w:rPr>
              <w:t>Delivered, In Transit or Returned.</w:t>
            </w:r>
          </w:p>
        </w:tc>
        <w:tc>
          <w:tcPr>
            <w:tcW w:type="dxa" w:w="1152"/>
          </w:tcPr>
          <w:p>
            <w:r/>
            <w:r>
              <w:rPr>
                <w:sz w:val="18"/>
              </w:rPr>
              <w:t>str</w:t>
            </w:r>
          </w:p>
        </w:tc>
        <w:tc>
          <w:tcPr>
            <w:tcW w:type="dxa" w:w="1008"/>
          </w:tcPr>
          <w:p>
            <w:pPr>
              <w:jc w:val="right"/>
            </w:pPr>
            <w:r/>
            <w:r>
              <w:rPr>
                <w:sz w:val="18"/>
              </w:rPr>
              <w:t>50</w:t>
            </w:r>
          </w:p>
        </w:tc>
      </w:tr>
      <w:tr>
        <w:tc>
          <w:tcPr>
            <w:tcW w:type="dxa" w:w="1872"/>
          </w:tcPr>
          <w:p>
            <w:r/>
            <w:r>
              <w:rPr>
                <w:sz w:val="18"/>
              </w:rPr>
              <w:t>Order Date</w:t>
            </w:r>
          </w:p>
        </w:tc>
        <w:tc>
          <w:tcPr>
            <w:tcW w:type="dxa" w:w="5184"/>
          </w:tcPr>
          <w:p>
            <w:r/>
            <w:r>
              <w:rPr>
                <w:sz w:val="18"/>
              </w:rPr>
              <w:t>Date of the order (dd-mm-yyyy).</w:t>
            </w:r>
          </w:p>
        </w:tc>
        <w:tc>
          <w:tcPr>
            <w:tcW w:type="dxa" w:w="1152"/>
          </w:tcPr>
          <w:p>
            <w:r/>
            <w:r>
              <w:rPr>
                <w:sz w:val="18"/>
              </w:rPr>
              <w:t>str</w:t>
            </w:r>
          </w:p>
        </w:tc>
        <w:tc>
          <w:tcPr>
            <w:tcW w:type="dxa" w:w="1008"/>
          </w:tcPr>
          <w:p>
            <w:pPr>
              <w:jc w:val="right"/>
            </w:pPr>
            <w:r/>
            <w:r>
              <w:rPr>
                <w:sz w:val="18"/>
              </w:rPr>
              <w:t>0</w:t>
            </w:r>
          </w:p>
        </w:tc>
      </w:tr>
    </w:tbl>
    <w:p>
      <w:pPr>
        <w:spacing w:after="40"/>
      </w:pPr>
    </w:p>
    <w:p>
      <w:r>
        <w:rPr>
          <w:b w:val="0"/>
          <w:i w:val="0"/>
        </w:rPr>
        <w:t>Derived columns created during cleaning: age_group, month, month_label, weekday, is_returned, order_value_with_shipping, and two flags (unit_price_corrected, age_imputed) so that every changed value stays traceable.</w:t>
      </w:r>
    </w:p>
    <w:p>
      <w:pPr>
        <w:pStyle w:val="Heading1"/>
      </w:pPr>
      <w:r>
        <w:t>8. Tools and Technologies</w:t>
      </w:r>
    </w:p>
    <w:p>
      <w:pPr>
        <w:keepNext/>
      </w:pPr>
      <w:r>
        <w:rPr>
          <w:b/>
          <w:i w:val="0"/>
          <w:sz w:val="20"/>
        </w:rPr>
        <w:t>Table 3: Technologies used</w:t>
      </w:r>
    </w:p>
    <w:tbl>
      <w:tblPr>
        <w:tblStyle w:val="TableGrid"/>
        <w:tblW w:type="auto" w:w="0"/>
        <w:jc w:val="center"/>
        <w:tblLayout w:type="fixed"/>
        <w:tblLook w:firstColumn="1" w:firstRow="1" w:lastColumn="0" w:lastRow="0" w:noHBand="0" w:noVBand="1" w:val="04A0"/>
      </w:tblPr>
      <w:tblGrid>
        <w:gridCol w:w="2592"/>
        <w:gridCol w:w="6624"/>
      </w:tblGrid>
      <w:tr>
        <w:trPr>
          <w:tblHeader w:val="true"/>
        </w:trPr>
        <w:tc>
          <w:tcPr>
            <w:tcW w:type="dxa" w:w="2592"/>
            <w:shd w:val="clear" w:color="auto" w:fill="1F3864"/>
          </w:tcPr>
          <w:p>
            <w:r/>
            <w:r>
              <w:rPr>
                <w:b/>
                <w:color w:val="FFFFFF"/>
                <w:sz w:val="18"/>
              </w:rPr>
              <w:t>Tool</w:t>
            </w:r>
          </w:p>
        </w:tc>
        <w:tc>
          <w:tcPr>
            <w:tcW w:type="dxa" w:w="6624"/>
            <w:shd w:val="clear" w:color="auto" w:fill="1F3864"/>
          </w:tcPr>
          <w:p>
            <w:r/>
            <w:r>
              <w:rPr>
                <w:b/>
                <w:color w:val="FFFFFF"/>
                <w:sz w:val="18"/>
              </w:rPr>
              <w:t>Purpose</w:t>
            </w:r>
          </w:p>
        </w:tc>
      </w:tr>
      <w:tr>
        <w:tc>
          <w:tcPr>
            <w:tcW w:type="dxa" w:w="2592"/>
          </w:tcPr>
          <w:p>
            <w:r/>
            <w:r>
              <w:rPr>
                <w:sz w:val="18"/>
              </w:rPr>
              <w:t>Python 3</w:t>
            </w:r>
          </w:p>
        </w:tc>
        <w:tc>
          <w:tcPr>
            <w:tcW w:type="dxa" w:w="6624"/>
          </w:tcPr>
          <w:p>
            <w:r/>
            <w:r>
              <w:rPr>
                <w:sz w:val="18"/>
              </w:rPr>
              <w:t>Main programming language</w:t>
            </w:r>
          </w:p>
        </w:tc>
      </w:tr>
      <w:tr>
        <w:tc>
          <w:tcPr>
            <w:tcW w:type="dxa" w:w="2592"/>
          </w:tcPr>
          <w:p>
            <w:r/>
            <w:r>
              <w:rPr>
                <w:sz w:val="18"/>
              </w:rPr>
              <w:t>pandas / NumPy</w:t>
            </w:r>
          </w:p>
        </w:tc>
        <w:tc>
          <w:tcPr>
            <w:tcW w:type="dxa" w:w="6624"/>
          </w:tcPr>
          <w:p>
            <w:r/>
            <w:r>
              <w:rPr>
                <w:sz w:val="18"/>
              </w:rPr>
              <w:t>Data loading, cleaning, aggregation</w:t>
            </w:r>
          </w:p>
        </w:tc>
      </w:tr>
      <w:tr>
        <w:tc>
          <w:tcPr>
            <w:tcW w:type="dxa" w:w="2592"/>
          </w:tcPr>
          <w:p>
            <w:r/>
            <w:r>
              <w:rPr>
                <w:sz w:val="18"/>
              </w:rPr>
              <w:t>SciPy</w:t>
            </w:r>
          </w:p>
        </w:tc>
        <w:tc>
          <w:tcPr>
            <w:tcW w:type="dxa" w:w="6624"/>
          </w:tcPr>
          <w:p>
            <w:r/>
            <w:r>
              <w:rPr>
                <w:sz w:val="18"/>
              </w:rPr>
              <w:t>Chi-square, Kruskal-Wallis, Mann-Whitney and Spearman tests</w:t>
            </w:r>
          </w:p>
        </w:tc>
      </w:tr>
      <w:tr>
        <w:tc>
          <w:tcPr>
            <w:tcW w:type="dxa" w:w="2592"/>
          </w:tcPr>
          <w:p>
            <w:r/>
            <w:r>
              <w:rPr>
                <w:sz w:val="18"/>
              </w:rPr>
              <w:t>Plotly</w:t>
            </w:r>
          </w:p>
        </w:tc>
        <w:tc>
          <w:tcPr>
            <w:tcW w:type="dxa" w:w="6624"/>
          </w:tcPr>
          <w:p>
            <w:r/>
            <w:r>
              <w:rPr>
                <w:sz w:val="18"/>
              </w:rPr>
              <w:t>Interactive charts in the dashboard</w:t>
            </w:r>
          </w:p>
        </w:tc>
      </w:tr>
      <w:tr>
        <w:tc>
          <w:tcPr>
            <w:tcW w:type="dxa" w:w="2592"/>
          </w:tcPr>
          <w:p>
            <w:r/>
            <w:r>
              <w:rPr>
                <w:sz w:val="18"/>
              </w:rPr>
              <w:t>Streamlit</w:t>
            </w:r>
          </w:p>
        </w:tc>
        <w:tc>
          <w:tcPr>
            <w:tcW w:type="dxa" w:w="6624"/>
          </w:tcPr>
          <w:p>
            <w:r/>
            <w:r>
              <w:rPr>
                <w:sz w:val="18"/>
              </w:rPr>
              <w:t>Interactive web dashboard (run with streamlit run app.py)</w:t>
            </w:r>
          </w:p>
        </w:tc>
      </w:tr>
      <w:tr>
        <w:tc>
          <w:tcPr>
            <w:tcW w:type="dxa" w:w="2592"/>
          </w:tcPr>
          <w:p>
            <w:r/>
            <w:r>
              <w:rPr>
                <w:sz w:val="18"/>
              </w:rPr>
              <w:t>Matplotlib</w:t>
            </w:r>
          </w:p>
        </w:tc>
        <w:tc>
          <w:tcPr>
            <w:tcW w:type="dxa" w:w="6624"/>
          </w:tcPr>
          <w:p>
            <w:r/>
            <w:r>
              <w:rPr>
                <w:sz w:val="18"/>
              </w:rPr>
              <w:t>Static figures used in this report</w:t>
            </w:r>
          </w:p>
        </w:tc>
      </w:tr>
      <w:tr>
        <w:tc>
          <w:tcPr>
            <w:tcW w:type="dxa" w:w="2592"/>
          </w:tcPr>
          <w:p>
            <w:r/>
            <w:r>
              <w:rPr>
                <w:sz w:val="18"/>
              </w:rPr>
              <w:t>python-docx</w:t>
            </w:r>
          </w:p>
        </w:tc>
        <w:tc>
          <w:tcPr>
            <w:tcW w:type="dxa" w:w="6624"/>
          </w:tcPr>
          <w:p>
            <w:r/>
            <w:r>
              <w:rPr>
                <w:sz w:val="18"/>
              </w:rPr>
              <w:t>Generation of this report from the data</w:t>
            </w:r>
          </w:p>
        </w:tc>
      </w:tr>
    </w:tbl>
    <w:p>
      <w:pPr>
        <w:spacing w:after="40"/>
      </w:pPr>
    </w:p>
    <w:p>
      <w:pPr>
        <w:pStyle w:val="Heading1"/>
      </w:pPr>
      <w:r>
        <w:t>9. System / Project Architecture</w:t>
      </w:r>
    </w:p>
    <w:p>
      <w:r>
        <w:rPr>
          <w:b w:val="0"/>
          <w:i w:val="0"/>
        </w:rPr>
        <w:t>The project follows a simple three-layer design, which keeps each file small and understandable:</w:t>
      </w:r>
    </w:p>
    <w:p>
      <w:pPr>
        <w:pStyle w:val="ListBullet"/>
      </w:pPr>
      <w:r>
        <w:t>Data layer (src/data_cleaning.py): loads the CSV, profiles it, cleans it and returns a cleaning log.</w:t>
      </w:r>
    </w:p>
    <w:p>
      <w:pPr>
        <w:pStyle w:val="ListBullet"/>
      </w:pPr>
      <w:r>
        <w:t>Analysis layer (src/analysis.py): all KPIs, group summaries, customer segmentation, statistical tests and automatic insights.</w:t>
      </w:r>
    </w:p>
    <w:p>
      <w:pPr>
        <w:pStyle w:val="ListBullet"/>
      </w:pPr>
      <w:r>
        <w:t>Presentation layer (src/visualizations.py and app.py): Plotly chart builders and the Streamlit pages, sidebar filters and download button.</w:t>
      </w:r>
    </w:p>
    <w:p>
      <w:r>
        <w:rPr>
          <w:b w:val="0"/>
          <w:i w:val="0"/>
        </w:rPr>
        <w:t>Data flow: CSV -&gt; clean_data() -&gt; sidebar filters -&gt; analysis functions -&gt; Plotly charts -&gt; dashboard page. Because everything after loading is calculated on the filtered data, no result is hard-coded and every KPI changes when the user changes a filter. The application tolerates missing files (an upload box is shown), empty filter selections (a warning is shown) and errors on any page (a message instead of a crash).</w:t>
      </w:r>
    </w:p>
    <w:p>
      <w:pPr>
        <w:keepNext/>
      </w:pPr>
      <w:r>
        <w:rPr>
          <w:b/>
          <w:i w:val="0"/>
          <w:sz w:val="20"/>
        </w:rPr>
        <w:t>Table 4: Project files</w:t>
      </w:r>
    </w:p>
    <w:tbl>
      <w:tblPr>
        <w:tblStyle w:val="TableGrid"/>
        <w:tblW w:type="auto" w:w="0"/>
        <w:jc w:val="center"/>
        <w:tblLayout w:type="fixed"/>
        <w:tblLook w:firstColumn="1" w:firstRow="1" w:lastColumn="0" w:lastRow="0" w:noHBand="0" w:noVBand="1" w:val="04A0"/>
      </w:tblPr>
      <w:tblGrid>
        <w:gridCol w:w="2736"/>
        <w:gridCol w:w="6480"/>
      </w:tblGrid>
      <w:tr>
        <w:trPr>
          <w:tblHeader w:val="true"/>
        </w:trPr>
        <w:tc>
          <w:tcPr>
            <w:tcW w:type="dxa" w:w="2736"/>
            <w:shd w:val="clear" w:color="auto" w:fill="1F3864"/>
          </w:tcPr>
          <w:p>
            <w:r/>
            <w:r>
              <w:rPr>
                <w:b/>
                <w:color w:val="FFFFFF"/>
                <w:sz w:val="18"/>
              </w:rPr>
              <w:t>File / folder</w:t>
            </w:r>
          </w:p>
        </w:tc>
        <w:tc>
          <w:tcPr>
            <w:tcW w:type="dxa" w:w="6480"/>
            <w:shd w:val="clear" w:color="auto" w:fill="1F3864"/>
          </w:tcPr>
          <w:p>
            <w:r/>
            <w:r>
              <w:rPr>
                <w:b/>
                <w:color w:val="FFFFFF"/>
                <w:sz w:val="18"/>
              </w:rPr>
              <w:t>Content</w:t>
            </w:r>
          </w:p>
        </w:tc>
      </w:tr>
      <w:tr>
        <w:tc>
          <w:tcPr>
            <w:tcW w:type="dxa" w:w="2736"/>
          </w:tcPr>
          <w:p>
            <w:r/>
            <w:r>
              <w:rPr>
                <w:sz w:val="18"/>
              </w:rPr>
              <w:t>app.py</w:t>
            </w:r>
          </w:p>
        </w:tc>
        <w:tc>
          <w:tcPr>
            <w:tcW w:type="dxa" w:w="6480"/>
          </w:tcPr>
          <w:p>
            <w:r/>
            <w:r>
              <w:rPr>
                <w:sz w:val="18"/>
              </w:rPr>
              <w:t>Streamlit entry point: filters, six pages, error handling</w:t>
            </w:r>
          </w:p>
        </w:tc>
      </w:tr>
      <w:tr>
        <w:tc>
          <w:tcPr>
            <w:tcW w:type="dxa" w:w="2736"/>
          </w:tcPr>
          <w:p>
            <w:r/>
            <w:r>
              <w:rPr>
                <w:sz w:val="18"/>
              </w:rPr>
              <w:t>src/data_cleaning.py</w:t>
            </w:r>
          </w:p>
        </w:tc>
        <w:tc>
          <w:tcPr>
            <w:tcW w:type="dxa" w:w="6480"/>
          </w:tcPr>
          <w:p>
            <w:r/>
            <w:r>
              <w:rPr>
                <w:sz w:val="18"/>
              </w:rPr>
              <w:t>Loading, profiling, cleaning, data-quality checks</w:t>
            </w:r>
          </w:p>
        </w:tc>
      </w:tr>
      <w:tr>
        <w:tc>
          <w:tcPr>
            <w:tcW w:type="dxa" w:w="2736"/>
          </w:tcPr>
          <w:p>
            <w:r/>
            <w:r>
              <w:rPr>
                <w:sz w:val="18"/>
              </w:rPr>
              <w:t>src/analysis.py</w:t>
            </w:r>
          </w:p>
        </w:tc>
        <w:tc>
          <w:tcPr>
            <w:tcW w:type="dxa" w:w="6480"/>
          </w:tcPr>
          <w:p>
            <w:r/>
            <w:r>
              <w:rPr>
                <w:sz w:val="18"/>
              </w:rPr>
              <w:t>Calculations, statistics and insights</w:t>
            </w:r>
          </w:p>
        </w:tc>
      </w:tr>
      <w:tr>
        <w:tc>
          <w:tcPr>
            <w:tcW w:type="dxa" w:w="2736"/>
          </w:tcPr>
          <w:p>
            <w:r/>
            <w:r>
              <w:rPr>
                <w:sz w:val="18"/>
              </w:rPr>
              <w:t>src/visualizations.py</w:t>
            </w:r>
          </w:p>
        </w:tc>
        <w:tc>
          <w:tcPr>
            <w:tcW w:type="dxa" w:w="6480"/>
          </w:tcPr>
          <w:p>
            <w:r/>
            <w:r>
              <w:rPr>
                <w:sz w:val="18"/>
              </w:rPr>
              <w:t>Plotly figures</w:t>
            </w:r>
          </w:p>
        </w:tc>
      </w:tr>
      <w:tr>
        <w:tc>
          <w:tcPr>
            <w:tcW w:type="dxa" w:w="2736"/>
          </w:tcPr>
          <w:p>
            <w:r/>
            <w:r>
              <w:rPr>
                <w:sz w:val="18"/>
              </w:rPr>
              <w:t>data/</w:t>
            </w:r>
          </w:p>
        </w:tc>
        <w:tc>
          <w:tcPr>
            <w:tcW w:type="dxa" w:w="6480"/>
          </w:tcPr>
          <w:p>
            <w:r/>
            <w:r>
              <w:rPr>
                <w:sz w:val="18"/>
              </w:rPr>
              <w:t>Dataset</w:t>
            </w:r>
          </w:p>
        </w:tc>
      </w:tr>
      <w:tr>
        <w:tc>
          <w:tcPr>
            <w:tcW w:type="dxa" w:w="2736"/>
          </w:tcPr>
          <w:p>
            <w:r/>
            <w:r>
              <w:rPr>
                <w:sz w:val="18"/>
              </w:rPr>
              <w:t>report/</w:t>
            </w:r>
          </w:p>
        </w:tc>
        <w:tc>
          <w:tcPr>
            <w:tcW w:type="dxa" w:w="6480"/>
          </w:tcPr>
          <w:p>
            <w:r/>
            <w:r>
              <w:rPr>
                <w:sz w:val="18"/>
              </w:rPr>
              <w:t>Report, figure and report-building scripts</w:t>
            </w:r>
          </w:p>
        </w:tc>
      </w:tr>
      <w:tr>
        <w:tc>
          <w:tcPr>
            <w:tcW w:type="dxa" w:w="2736"/>
          </w:tcPr>
          <w:p>
            <w:r/>
            <w:r>
              <w:rPr>
                <w:sz w:val="18"/>
              </w:rPr>
              <w:t>requirements.txt</w:t>
            </w:r>
          </w:p>
        </w:tc>
        <w:tc>
          <w:tcPr>
            <w:tcW w:type="dxa" w:w="6480"/>
          </w:tcPr>
          <w:p>
            <w:r/>
            <w:r>
              <w:rPr>
                <w:sz w:val="18"/>
              </w:rPr>
              <w:t>Python dependencies</w:t>
            </w:r>
          </w:p>
        </w:tc>
      </w:tr>
    </w:tbl>
    <w:p>
      <w:pPr>
        <w:spacing w:after="40"/>
      </w:pPr>
    </w:p>
    <w:p>
      <w:pPr>
        <w:pStyle w:val="Heading1"/>
      </w:pPr>
      <w:r>
        <w:t>10. Data Cleaning and Preprocessing</w:t>
      </w:r>
    </w:p>
    <w:p>
      <w:r>
        <w:rPr>
          <w:b w:val="0"/>
          <w:i w:val="0"/>
        </w:rPr>
        <w:t>The cleaning rules were designed after inspecting the data. The principle was to keep as many rows as possible, because deleting rows removes real sales from the totals.</w:t>
      </w:r>
    </w:p>
    <w:p>
      <w:pPr>
        <w:keepNext/>
      </w:pPr>
      <w:r>
        <w:rPr>
          <w:b/>
          <w:i w:val="0"/>
          <w:sz w:val="20"/>
        </w:rPr>
        <w:t>Table 5: Cleaning log generated by the code</w:t>
      </w:r>
    </w:p>
    <w:tbl>
      <w:tblPr>
        <w:tblStyle w:val="TableGrid"/>
        <w:tblW w:type="auto" w:w="0"/>
        <w:jc w:val="center"/>
        <w:tblLayout w:type="fixed"/>
        <w:tblLook w:firstColumn="1" w:firstRow="1" w:lastColumn="0" w:lastRow="0" w:noHBand="0" w:noVBand="1" w:val="04A0"/>
      </w:tblPr>
      <w:tblGrid>
        <w:gridCol w:w="1584"/>
        <w:gridCol w:w="2880"/>
        <w:gridCol w:w="4032"/>
        <w:gridCol w:w="720"/>
      </w:tblGrid>
      <w:tr>
        <w:trPr>
          <w:tblHeader w:val="true"/>
        </w:trPr>
        <w:tc>
          <w:tcPr>
            <w:tcW w:type="dxa" w:w="1584"/>
            <w:shd w:val="clear" w:color="auto" w:fill="1F3864"/>
          </w:tcPr>
          <w:p>
            <w:r/>
            <w:r>
              <w:rPr>
                <w:b/>
                <w:color w:val="FFFFFF"/>
                <w:sz w:val="16"/>
              </w:rPr>
              <w:t>Step</w:t>
            </w:r>
          </w:p>
        </w:tc>
        <w:tc>
          <w:tcPr>
            <w:tcW w:type="dxa" w:w="2880"/>
            <w:shd w:val="clear" w:color="auto" w:fill="1F3864"/>
          </w:tcPr>
          <w:p>
            <w:r/>
            <w:r>
              <w:rPr>
                <w:b/>
                <w:color w:val="FFFFFF"/>
                <w:sz w:val="16"/>
              </w:rPr>
              <w:t>Issue</w:t>
            </w:r>
          </w:p>
        </w:tc>
        <w:tc>
          <w:tcPr>
            <w:tcW w:type="dxa" w:w="4032"/>
            <w:shd w:val="clear" w:color="auto" w:fill="1F3864"/>
          </w:tcPr>
          <w:p>
            <w:r/>
            <w:r>
              <w:rPr>
                <w:b/>
                <w:color w:val="FFFFFF"/>
                <w:sz w:val="16"/>
              </w:rPr>
              <w:t>Action</w:t>
            </w:r>
          </w:p>
        </w:tc>
        <w:tc>
          <w:tcPr>
            <w:tcW w:type="dxa" w:w="720"/>
            <w:shd w:val="clear" w:color="auto" w:fill="1F3864"/>
          </w:tcPr>
          <w:p>
            <w:r/>
            <w:r>
              <w:rPr>
                <w:b/>
                <w:color w:val="FFFFFF"/>
                <w:sz w:val="16"/>
              </w:rPr>
              <w:t>Rows</w:t>
            </w:r>
          </w:p>
        </w:tc>
      </w:tr>
      <w:tr>
        <w:tc>
          <w:tcPr>
            <w:tcW w:type="dxa" w:w="1584"/>
          </w:tcPr>
          <w:p>
            <w:r/>
            <w:r>
              <w:rPr>
                <w:sz w:val="16"/>
              </w:rPr>
              <w:t>Text standardisation</w:t>
            </w:r>
          </w:p>
        </w:tc>
        <w:tc>
          <w:tcPr>
            <w:tcW w:type="dxa" w:w="2880"/>
          </w:tcPr>
          <w:p>
            <w:r/>
            <w:r>
              <w:rPr>
                <w:sz w:val="16"/>
              </w:rPr>
              <w:t>Possible stray spaces / inconsistent letter case in text columns</w:t>
            </w:r>
          </w:p>
        </w:tc>
        <w:tc>
          <w:tcPr>
            <w:tcW w:type="dxa" w:w="4032"/>
          </w:tcPr>
          <w:p>
            <w:r/>
            <w:r>
              <w:rPr>
                <w:sz w:val="16"/>
              </w:rPr>
              <w:t>Trimmed whitespace; Title Case for labels; upper case for Customer ID</w:t>
            </w:r>
          </w:p>
        </w:tc>
        <w:tc>
          <w:tcPr>
            <w:tcW w:type="dxa" w:w="720"/>
          </w:tcPr>
          <w:p>
            <w:pPr>
              <w:jc w:val="right"/>
            </w:pPr>
            <w:r/>
            <w:r>
              <w:rPr>
                <w:sz w:val="16"/>
              </w:rPr>
              <w:t>0</w:t>
            </w:r>
          </w:p>
        </w:tc>
      </w:tr>
      <w:tr>
        <w:tc>
          <w:tcPr>
            <w:tcW w:type="dxa" w:w="1584"/>
          </w:tcPr>
          <w:p>
            <w:r/>
            <w:r>
              <w:rPr>
                <w:sz w:val="16"/>
              </w:rPr>
              <w:t>Type conversion</w:t>
            </w:r>
          </w:p>
        </w:tc>
        <w:tc>
          <w:tcPr>
            <w:tcW w:type="dxa" w:w="2880"/>
          </w:tcPr>
          <w:p>
            <w:r/>
            <w:r>
              <w:rPr>
                <w:sz w:val="16"/>
              </w:rPr>
              <w:t>Order Date stored as text (dd-mm-yyyy); numeric fields checked for invalid values</w:t>
            </w:r>
          </w:p>
        </w:tc>
        <w:tc>
          <w:tcPr>
            <w:tcW w:type="dxa" w:w="4032"/>
          </w:tcPr>
          <w:p>
            <w:r/>
            <w:r>
              <w:rPr>
                <w:sz w:val="16"/>
              </w:rPr>
              <w:t>Converted to datetime/numeric. Rows with unparseable date, missing price/quantity/fee or non-positive quantity/price are removed</w:t>
            </w:r>
          </w:p>
        </w:tc>
        <w:tc>
          <w:tcPr>
            <w:tcW w:type="dxa" w:w="720"/>
          </w:tcPr>
          <w:p>
            <w:pPr>
              <w:jc w:val="right"/>
            </w:pPr>
            <w:r/>
            <w:r>
              <w:rPr>
                <w:sz w:val="16"/>
              </w:rPr>
              <w:t>0</w:t>
            </w:r>
          </w:p>
        </w:tc>
      </w:tr>
      <w:tr>
        <w:tc>
          <w:tcPr>
            <w:tcW w:type="dxa" w:w="1584"/>
          </w:tcPr>
          <w:p>
            <w:r/>
            <w:r>
              <w:rPr>
                <w:sz w:val="16"/>
              </w:rPr>
              <w:t>Duplicate records</w:t>
            </w:r>
          </w:p>
        </w:tc>
        <w:tc>
          <w:tcPr>
            <w:tcW w:type="dxa" w:w="2880"/>
          </w:tcPr>
          <w:p>
            <w:r/>
            <w:r>
              <w:rPr>
                <w:sz w:val="16"/>
              </w:rPr>
              <w:t>Exact duplicate rows</w:t>
            </w:r>
          </w:p>
        </w:tc>
        <w:tc>
          <w:tcPr>
            <w:tcW w:type="dxa" w:w="4032"/>
          </w:tcPr>
          <w:p>
            <w:r/>
            <w:r>
              <w:rPr>
                <w:sz w:val="16"/>
              </w:rPr>
              <w:t>Removed duplicates (kept first occurrence)</w:t>
            </w:r>
          </w:p>
        </w:tc>
        <w:tc>
          <w:tcPr>
            <w:tcW w:type="dxa" w:w="720"/>
          </w:tcPr>
          <w:p>
            <w:pPr>
              <w:jc w:val="right"/>
            </w:pPr>
            <w:r/>
            <w:r>
              <w:rPr>
                <w:sz w:val="16"/>
              </w:rPr>
              <w:t>0</w:t>
            </w:r>
          </w:p>
        </w:tc>
      </w:tr>
      <w:tr>
        <w:tc>
          <w:tcPr>
            <w:tcW w:type="dxa" w:w="1584"/>
          </w:tcPr>
          <w:p>
            <w:r/>
            <w:r>
              <w:rPr>
                <w:sz w:val="16"/>
              </w:rPr>
              <w:t>Missing values</w:t>
            </w:r>
          </w:p>
        </w:tc>
        <w:tc>
          <w:tcPr>
            <w:tcW w:type="dxa" w:w="2880"/>
          </w:tcPr>
          <w:p>
            <w:r/>
            <w:r>
              <w:rPr>
                <w:sz w:val="16"/>
              </w:rPr>
              <w:t>Region is missing</w:t>
            </w:r>
          </w:p>
        </w:tc>
        <w:tc>
          <w:tcPr>
            <w:tcW w:type="dxa" w:w="4032"/>
          </w:tcPr>
          <w:p>
            <w:r/>
            <w:r>
              <w:rPr>
                <w:sz w:val="16"/>
              </w:rPr>
              <w:t>Labelled 'Unknown' instead of deleting the row, so sales/quantity are still counted. 'Unknown' is excluded from rate denominators where a known value is needed</w:t>
            </w:r>
          </w:p>
        </w:tc>
        <w:tc>
          <w:tcPr>
            <w:tcW w:type="dxa" w:w="720"/>
          </w:tcPr>
          <w:p>
            <w:pPr>
              <w:jc w:val="right"/>
            </w:pPr>
            <w:r/>
            <w:r>
              <w:rPr>
                <w:sz w:val="16"/>
              </w:rPr>
              <w:t>50</w:t>
            </w:r>
          </w:p>
        </w:tc>
      </w:tr>
      <w:tr>
        <w:tc>
          <w:tcPr>
            <w:tcW w:type="dxa" w:w="1584"/>
          </w:tcPr>
          <w:p>
            <w:r/>
            <w:r>
              <w:rPr>
                <w:sz w:val="16"/>
              </w:rPr>
              <w:t>Missing values</w:t>
            </w:r>
          </w:p>
        </w:tc>
        <w:tc>
          <w:tcPr>
            <w:tcW w:type="dxa" w:w="2880"/>
          </w:tcPr>
          <w:p>
            <w:r/>
            <w:r>
              <w:rPr>
                <w:sz w:val="16"/>
              </w:rPr>
              <w:t>Shipping Status is missing</w:t>
            </w:r>
          </w:p>
        </w:tc>
        <w:tc>
          <w:tcPr>
            <w:tcW w:type="dxa" w:w="4032"/>
          </w:tcPr>
          <w:p>
            <w:r/>
            <w:r>
              <w:rPr>
                <w:sz w:val="16"/>
              </w:rPr>
              <w:t>Labelled 'Unknown' instead of deleting the row, so sales/quantity are still counted. 'Unknown' is excluded from rate denominators where a known value is needed</w:t>
            </w:r>
          </w:p>
        </w:tc>
        <w:tc>
          <w:tcPr>
            <w:tcW w:type="dxa" w:w="720"/>
          </w:tcPr>
          <w:p>
            <w:pPr>
              <w:jc w:val="right"/>
            </w:pPr>
            <w:r/>
            <w:r>
              <w:rPr>
                <w:sz w:val="16"/>
              </w:rPr>
              <w:t>50</w:t>
            </w:r>
          </w:p>
        </w:tc>
      </w:tr>
      <w:tr>
        <w:tc>
          <w:tcPr>
            <w:tcW w:type="dxa" w:w="1584"/>
          </w:tcPr>
          <w:p>
            <w:r/>
            <w:r>
              <w:rPr>
                <w:sz w:val="16"/>
              </w:rPr>
              <w:t>Inconsistent values</w:t>
            </w:r>
          </w:p>
        </w:tc>
        <w:tc>
          <w:tcPr>
            <w:tcW w:type="dxa" w:w="2880"/>
          </w:tcPr>
          <w:p>
            <w:r/>
            <w:r>
              <w:rPr>
                <w:sz w:val="16"/>
              </w:rPr>
              <w:t>Unit Price x Quantity does not equal Total Price (these Unit Prices have unrealistic decimals and differ from the product's usual price, while Total Price follows the product's price list)</w:t>
            </w:r>
          </w:p>
        </w:tc>
        <w:tc>
          <w:tcPr>
            <w:tcW w:type="dxa" w:w="4032"/>
          </w:tcPr>
          <w:p>
            <w:r/>
            <w:r>
              <w:rPr>
                <w:sz w:val="16"/>
              </w:rPr>
              <w:t>Unit Price recomputed as Total Price / Quantity and flagged in 'unit_price_corrected'</w:t>
            </w:r>
          </w:p>
        </w:tc>
        <w:tc>
          <w:tcPr>
            <w:tcW w:type="dxa" w:w="720"/>
          </w:tcPr>
          <w:p>
            <w:pPr>
              <w:jc w:val="right"/>
            </w:pPr>
            <w:r/>
            <w:r>
              <w:rPr>
                <w:sz w:val="16"/>
              </w:rPr>
              <w:t>20</w:t>
            </w:r>
          </w:p>
        </w:tc>
      </w:tr>
      <w:tr>
        <w:tc>
          <w:tcPr>
            <w:tcW w:type="dxa" w:w="1584"/>
          </w:tcPr>
          <w:p>
            <w:r/>
            <w:r>
              <w:rPr>
                <w:sz w:val="16"/>
              </w:rPr>
              <w:t>Missing values</w:t>
            </w:r>
          </w:p>
        </w:tc>
        <w:tc>
          <w:tcPr>
            <w:tcW w:type="dxa" w:w="2880"/>
          </w:tcPr>
          <w:p>
            <w:r/>
            <w:r>
              <w:rPr>
                <w:sz w:val="16"/>
              </w:rPr>
              <w:t>Age is missing</w:t>
            </w:r>
          </w:p>
        </w:tc>
        <w:tc>
          <w:tcPr>
            <w:tcW w:type="dxa" w:w="4032"/>
          </w:tcPr>
          <w:p>
            <w:r/>
            <w:r>
              <w:rPr>
                <w:sz w:val="16"/>
              </w:rPr>
              <w:t>Filled from the same Customer ID's known age where available (93 rows), otherwise with the median age (49; 7 rows). Flag 'age_imputed' kept. Median is robust to outliers</w:t>
            </w:r>
          </w:p>
        </w:tc>
        <w:tc>
          <w:tcPr>
            <w:tcW w:type="dxa" w:w="720"/>
          </w:tcPr>
          <w:p>
            <w:pPr>
              <w:jc w:val="right"/>
            </w:pPr>
            <w:r/>
            <w:r>
              <w:rPr>
                <w:sz w:val="16"/>
              </w:rPr>
              <w:t>100</w:t>
            </w:r>
          </w:p>
        </w:tc>
      </w:tr>
      <w:tr>
        <w:tc>
          <w:tcPr>
            <w:tcW w:type="dxa" w:w="1584"/>
          </w:tcPr>
          <w:p>
            <w:r/>
            <w:r>
              <w:rPr>
                <w:sz w:val="16"/>
              </w:rPr>
              <w:t>Feature engineering</w:t>
            </w:r>
          </w:p>
        </w:tc>
        <w:tc>
          <w:tcPr>
            <w:tcW w:type="dxa" w:w="2880"/>
          </w:tcPr>
          <w:p>
            <w:r/>
            <w:r>
              <w:rPr>
                <w:sz w:val="16"/>
              </w:rPr>
              <w:t>Analysis needs extra fields</w:t>
            </w:r>
          </w:p>
        </w:tc>
        <w:tc>
          <w:tcPr>
            <w:tcW w:type="dxa" w:w="4032"/>
          </w:tcPr>
          <w:p>
            <w:r/>
            <w:r>
              <w:rPr>
                <w:sz w:val="16"/>
              </w:rPr>
              <w:t>Added age_group, month, weekday, is_returned, order_value_with_shipping</w:t>
            </w:r>
          </w:p>
        </w:tc>
        <w:tc>
          <w:tcPr>
            <w:tcW w:type="dxa" w:w="720"/>
          </w:tcPr>
          <w:p>
            <w:pPr>
              <w:jc w:val="right"/>
            </w:pPr>
            <w:r/>
            <w:r>
              <w:rPr>
                <w:sz w:val="16"/>
              </w:rPr>
              <w:t>1000</w:t>
            </w:r>
          </w:p>
        </w:tc>
      </w:tr>
      <w:tr>
        <w:tc>
          <w:tcPr>
            <w:tcW w:type="dxa" w:w="1584"/>
          </w:tcPr>
          <w:p>
            <w:r/>
            <w:r>
              <w:rPr>
                <w:sz w:val="16"/>
              </w:rPr>
              <w:t>Summary</w:t>
            </w:r>
          </w:p>
        </w:tc>
        <w:tc>
          <w:tcPr>
            <w:tcW w:type="dxa" w:w="2880"/>
          </w:tcPr>
          <w:p>
            <w:r/>
            <w:r>
              <w:rPr>
                <w:sz w:val="16"/>
              </w:rPr>
              <w:t>1000 raw rows</w:t>
            </w:r>
          </w:p>
        </w:tc>
        <w:tc>
          <w:tcPr>
            <w:tcW w:type="dxa" w:w="4032"/>
          </w:tcPr>
          <w:p>
            <w:r/>
            <w:r>
              <w:rPr>
                <w:sz w:val="16"/>
              </w:rPr>
              <w:t>1000 rows kept after cleaning</w:t>
            </w:r>
          </w:p>
        </w:tc>
        <w:tc>
          <w:tcPr>
            <w:tcW w:type="dxa" w:w="720"/>
          </w:tcPr>
          <w:p>
            <w:pPr>
              <w:jc w:val="right"/>
            </w:pPr>
            <w:r/>
            <w:r>
              <w:rPr>
                <w:sz w:val="16"/>
              </w:rPr>
              <w:t>0</w:t>
            </w:r>
          </w:p>
        </w:tc>
      </w:tr>
    </w:tbl>
    <w:p>
      <w:pPr>
        <w:spacing w:after="40"/>
      </w:pPr>
    </w:p>
    <w:p>
      <w:pPr>
        <w:pStyle w:val="Heading2"/>
      </w:pPr>
      <w:r>
        <w:t>Key decisions</w:t>
      </w:r>
    </w:p>
    <w:p>
      <w:pPr>
        <w:pStyle w:val="ListBullet"/>
      </w:pPr>
      <w:r>
        <w:t>Region and Shipping Status (50 missing each): labelled "Unknown" rather than dropped, so revenue and quantity remain complete. Unknown is excluded from return-rate denominators and from region comparisons.</w:t>
      </w:r>
    </w:p>
    <w:p>
      <w:pPr>
        <w:pStyle w:val="ListBullet"/>
      </w:pPr>
      <w:r>
        <w:t>Age (100 missing, 10%): missing values were first filled with the same Customer ID's known age (age is consistent within each customer ID), and any still missing with the median age. The median was chosen because it is not affected by extreme values. An age_imputed flag is kept.</w:t>
      </w:r>
    </w:p>
    <w:p>
      <w:pPr>
        <w:pStyle w:val="ListBullet"/>
      </w:pPr>
      <w:r>
        <w:t>Unit Price (20 rows): in these rows Unit Price x Quantity did not match Total Price. The Unit Prices had long decimals and were a constant multiple of the product's normal price, whereas Total Price matched the product's price list. Total Price was therefore treated as correct and Unit Price recomputed as Total Price / Quantity. Using the uncorrected values would have inflated average unit price.</w:t>
      </w:r>
    </w:p>
    <w:p>
      <w:pPr>
        <w:pStyle w:val="ListBullet"/>
      </w:pPr>
      <w:r>
        <w:t>Revenue definition: revenue = sum of Total Price; shipping fees are reported separately, so nothing is double counted. Net revenue = revenue minus returned orders.</w:t>
      </w:r>
    </w:p>
    <w:p>
      <w:r>
        <w:rPr>
          <w:b w:val="0"/>
          <w:i w:val="0"/>
        </w:rPr>
        <w:t>After cleaning, 1,000 rows remain (no rows removed) and no missing values are left in the analysis columns.</w:t>
      </w:r>
    </w:p>
    <w:p>
      <w:pPr>
        <w:pStyle w:val="Heading2"/>
      </w:pPr>
      <w:r>
        <w:t>Data-quality observations that limit interpretation</w:t>
      </w:r>
    </w:p>
    <w:p>
      <w:pPr>
        <w:keepNext/>
      </w:pPr>
      <w:r>
        <w:rPr>
          <w:b/>
          <w:i w:val="0"/>
          <w:sz w:val="20"/>
        </w:rPr>
        <w:t>Table 6: Additional data-quality checks</w:t>
      </w:r>
    </w:p>
    <w:tbl>
      <w:tblPr>
        <w:tblStyle w:val="TableGrid"/>
        <w:tblW w:type="auto" w:w="0"/>
        <w:jc w:val="center"/>
        <w:tblLayout w:type="fixed"/>
        <w:tblLook w:firstColumn="1" w:firstRow="1" w:lastColumn="0" w:lastRow="0" w:noHBand="0" w:noVBand="1" w:val="04A0"/>
      </w:tblPr>
      <w:tblGrid>
        <w:gridCol w:w="3744"/>
        <w:gridCol w:w="864"/>
        <w:gridCol w:w="4608"/>
      </w:tblGrid>
      <w:tr>
        <w:trPr>
          <w:tblHeader w:val="true"/>
        </w:trPr>
        <w:tc>
          <w:tcPr>
            <w:tcW w:type="dxa" w:w="3744"/>
            <w:shd w:val="clear" w:color="auto" w:fill="1F3864"/>
          </w:tcPr>
          <w:p>
            <w:r/>
            <w:r>
              <w:rPr>
                <w:b/>
                <w:color w:val="FFFFFF"/>
                <w:sz w:val="16"/>
              </w:rPr>
              <w:t>Check</w:t>
            </w:r>
          </w:p>
        </w:tc>
        <w:tc>
          <w:tcPr>
            <w:tcW w:type="dxa" w:w="864"/>
            <w:shd w:val="clear" w:color="auto" w:fill="1F3864"/>
          </w:tcPr>
          <w:p>
            <w:r/>
            <w:r>
              <w:rPr>
                <w:b/>
                <w:color w:val="FFFFFF"/>
                <w:sz w:val="16"/>
              </w:rPr>
              <w:t>Count</w:t>
            </w:r>
          </w:p>
        </w:tc>
        <w:tc>
          <w:tcPr>
            <w:tcW w:type="dxa" w:w="4608"/>
            <w:shd w:val="clear" w:color="auto" w:fill="1F3864"/>
          </w:tcPr>
          <w:p>
            <w:r/>
            <w:r>
              <w:rPr>
                <w:b/>
                <w:color w:val="FFFFFF"/>
                <w:sz w:val="16"/>
              </w:rPr>
              <w:t>Implication</w:t>
            </w:r>
          </w:p>
        </w:tc>
      </w:tr>
      <w:tr>
        <w:tc>
          <w:tcPr>
            <w:tcW w:type="dxa" w:w="3744"/>
          </w:tcPr>
          <w:p>
            <w:r/>
            <w:r>
              <w:rPr>
                <w:sz w:val="16"/>
              </w:rPr>
              <w:t>Customer IDs recorded with more than one gender</w:t>
            </w:r>
          </w:p>
        </w:tc>
        <w:tc>
          <w:tcPr>
            <w:tcW w:type="dxa" w:w="864"/>
          </w:tcPr>
          <w:p>
            <w:pPr>
              <w:jc w:val="right"/>
            </w:pPr>
            <w:r/>
            <w:r>
              <w:rPr>
                <w:sz w:val="16"/>
              </w:rPr>
              <w:t>192</w:t>
            </w:r>
          </w:p>
        </w:tc>
        <w:tc>
          <w:tcPr>
            <w:tcW w:type="dxa" w:w="4608"/>
          </w:tcPr>
          <w:p>
            <w:r/>
            <w:r>
              <w:rPr>
                <w:sz w:val="16"/>
              </w:rPr>
              <w:t>Customer ID is not a fully reliable identity; customer-level results are indicative.</w:t>
            </w:r>
          </w:p>
        </w:tc>
      </w:tr>
      <w:tr>
        <w:tc>
          <w:tcPr>
            <w:tcW w:type="dxa" w:w="3744"/>
          </w:tcPr>
          <w:p>
            <w:r/>
            <w:r>
              <w:rPr>
                <w:sz w:val="16"/>
              </w:rPr>
              <w:t>Customer IDs recorded in more than one region</w:t>
            </w:r>
          </w:p>
        </w:tc>
        <w:tc>
          <w:tcPr>
            <w:tcW w:type="dxa" w:w="864"/>
          </w:tcPr>
          <w:p>
            <w:pPr>
              <w:jc w:val="right"/>
            </w:pPr>
            <w:r/>
            <w:r>
              <w:rPr>
                <w:sz w:val="16"/>
              </w:rPr>
              <w:t>217</w:t>
            </w:r>
          </w:p>
        </w:tc>
        <w:tc>
          <w:tcPr>
            <w:tcW w:type="dxa" w:w="4608"/>
          </w:tcPr>
          <w:p>
            <w:r/>
            <w:r>
              <w:rPr>
                <w:sz w:val="16"/>
              </w:rPr>
              <w:t>Region behaves like a property of the order, not of the customer.</w:t>
            </w:r>
          </w:p>
        </w:tc>
      </w:tr>
      <w:tr>
        <w:tc>
          <w:tcPr>
            <w:tcW w:type="dxa" w:w="3744"/>
          </w:tcPr>
          <w:p>
            <w:r/>
            <w:r>
              <w:rPr>
                <w:sz w:val="16"/>
              </w:rPr>
              <w:t>Distinct order days in last month (2024-01)</w:t>
            </w:r>
          </w:p>
        </w:tc>
        <w:tc>
          <w:tcPr>
            <w:tcW w:type="dxa" w:w="864"/>
          </w:tcPr>
          <w:p>
            <w:pPr>
              <w:jc w:val="right"/>
            </w:pPr>
            <w:r/>
            <w:r>
              <w:rPr>
                <w:sz w:val="16"/>
              </w:rPr>
              <w:t>1</w:t>
            </w:r>
          </w:p>
        </w:tc>
        <w:tc>
          <w:tcPr>
            <w:tcW w:type="dxa" w:w="4608"/>
          </w:tcPr>
          <w:p>
            <w:r/>
            <w:r>
              <w:rPr>
                <w:sz w:val="16"/>
              </w:rPr>
              <w:t>A very short last month is partial and should not be compared with full months.</w:t>
            </w:r>
          </w:p>
        </w:tc>
      </w:tr>
      <w:tr>
        <w:tc>
          <w:tcPr>
            <w:tcW w:type="dxa" w:w="3744"/>
          </w:tcPr>
          <w:p>
            <w:r/>
            <w:r>
              <w:rPr>
                <w:sz w:val="16"/>
              </w:rPr>
              <w:t>Order ID column present (0 = no)</w:t>
            </w:r>
          </w:p>
        </w:tc>
        <w:tc>
          <w:tcPr>
            <w:tcW w:type="dxa" w:w="864"/>
          </w:tcPr>
          <w:p>
            <w:pPr>
              <w:jc w:val="right"/>
            </w:pPr>
            <w:r/>
            <w:r>
              <w:rPr>
                <w:sz w:val="16"/>
              </w:rPr>
              <w:t>0</w:t>
            </w:r>
          </w:p>
        </w:tc>
        <w:tc>
          <w:tcPr>
            <w:tcW w:type="dxa" w:w="4608"/>
          </w:tcPr>
          <w:p>
            <w:r/>
            <w:r>
              <w:rPr>
                <w:sz w:val="16"/>
              </w:rPr>
              <w:t>No Order ID: each row is treated as one order.</w:t>
            </w:r>
          </w:p>
        </w:tc>
      </w:tr>
      <w:tr>
        <w:tc>
          <w:tcPr>
            <w:tcW w:type="dxa" w:w="3744"/>
          </w:tcPr>
          <w:p>
            <w:r/>
            <w:r>
              <w:rPr>
                <w:sz w:val="16"/>
              </w:rPr>
              <w:t>Currency stated in data (0 = no)</w:t>
            </w:r>
          </w:p>
        </w:tc>
        <w:tc>
          <w:tcPr>
            <w:tcW w:type="dxa" w:w="864"/>
          </w:tcPr>
          <w:p>
            <w:pPr>
              <w:jc w:val="right"/>
            </w:pPr>
            <w:r/>
            <w:r>
              <w:rPr>
                <w:sz w:val="16"/>
              </w:rPr>
              <w:t>0</w:t>
            </w:r>
          </w:p>
        </w:tc>
        <w:tc>
          <w:tcPr>
            <w:tcW w:type="dxa" w:w="4608"/>
          </w:tcPr>
          <w:p>
            <w:r/>
            <w:r>
              <w:rPr>
                <w:sz w:val="16"/>
              </w:rPr>
              <w:t>Currency not specified; values shown as plain numbers.</w:t>
            </w:r>
          </w:p>
        </w:tc>
      </w:tr>
    </w:tbl>
    <w:p>
      <w:pPr>
        <w:spacing w:after="40"/>
      </w:pPr>
    </w:p>
    <w:p>
      <w:pPr>
        <w:pStyle w:val="Heading1"/>
      </w:pPr>
      <w:r>
        <w:t>11. Exploratory Data Analysis</w:t>
      </w:r>
    </w:p>
    <w:p>
      <w:r>
        <w:rPr>
          <w:b w:val="0"/>
          <w:i w:val="0"/>
        </w:rPr>
        <w:t>Descriptive statistics of the numeric fields after cleaning are shown below.</w:t>
      </w:r>
    </w:p>
    <w:p>
      <w:pPr>
        <w:keepNext/>
      </w:pPr>
      <w:r>
        <w:rPr>
          <w:b/>
          <w:i w:val="0"/>
          <w:sz w:val="20"/>
        </w:rPr>
        <w:t>Table 7: Descriptive statistics</w:t>
      </w:r>
    </w:p>
    <w:tbl>
      <w:tblPr>
        <w:tblStyle w:val="TableGrid"/>
        <w:tblW w:type="auto" w:w="0"/>
        <w:jc w:val="center"/>
        <w:tblLayout w:type="fixed"/>
        <w:tblLook w:firstColumn="1" w:firstRow="1" w:lastColumn="0" w:lastRow="0" w:noHBand="0" w:noVBand="1" w:val="04A0"/>
      </w:tblPr>
      <w:tblGrid>
        <w:gridCol w:w="1440"/>
        <w:gridCol w:w="893"/>
        <w:gridCol w:w="893"/>
        <w:gridCol w:w="893"/>
        <w:gridCol w:w="893"/>
        <w:gridCol w:w="893"/>
        <w:gridCol w:w="893"/>
        <w:gridCol w:w="893"/>
        <w:gridCol w:w="893"/>
        <w:gridCol w:w="893"/>
      </w:tblGrid>
      <w:tr>
        <w:trPr>
          <w:tblHeader w:val="true"/>
        </w:trPr>
        <w:tc>
          <w:tcPr>
            <w:tcW w:type="dxa" w:w="1440"/>
            <w:shd w:val="clear" w:color="auto" w:fill="1F3864"/>
          </w:tcPr>
          <w:p>
            <w:r/>
            <w:r>
              <w:rPr>
                <w:b/>
                <w:color w:val="FFFFFF"/>
                <w:sz w:val="16"/>
              </w:rPr>
              <w:t>Field</w:t>
            </w:r>
          </w:p>
        </w:tc>
        <w:tc>
          <w:tcPr>
            <w:tcW w:type="dxa" w:w="893"/>
            <w:shd w:val="clear" w:color="auto" w:fill="1F3864"/>
          </w:tcPr>
          <w:p>
            <w:r/>
            <w:r>
              <w:rPr>
                <w:b/>
                <w:color w:val="FFFFFF"/>
                <w:sz w:val="16"/>
              </w:rPr>
              <w:t>count</w:t>
            </w:r>
          </w:p>
        </w:tc>
        <w:tc>
          <w:tcPr>
            <w:tcW w:type="dxa" w:w="893"/>
            <w:shd w:val="clear" w:color="auto" w:fill="1F3864"/>
          </w:tcPr>
          <w:p>
            <w:r/>
            <w:r>
              <w:rPr>
                <w:b/>
                <w:color w:val="FFFFFF"/>
                <w:sz w:val="16"/>
              </w:rPr>
              <w:t>mean</w:t>
            </w:r>
          </w:p>
        </w:tc>
        <w:tc>
          <w:tcPr>
            <w:tcW w:type="dxa" w:w="893"/>
            <w:shd w:val="clear" w:color="auto" w:fill="1F3864"/>
          </w:tcPr>
          <w:p>
            <w:r/>
            <w:r>
              <w:rPr>
                <w:b/>
                <w:color w:val="FFFFFF"/>
                <w:sz w:val="16"/>
              </w:rPr>
              <w:t>median</w:t>
            </w:r>
          </w:p>
        </w:tc>
        <w:tc>
          <w:tcPr>
            <w:tcW w:type="dxa" w:w="893"/>
            <w:shd w:val="clear" w:color="auto" w:fill="1F3864"/>
          </w:tcPr>
          <w:p>
            <w:r/>
            <w:r>
              <w:rPr>
                <w:b/>
                <w:color w:val="FFFFFF"/>
                <w:sz w:val="16"/>
              </w:rPr>
              <w:t>std</w:t>
            </w:r>
          </w:p>
        </w:tc>
        <w:tc>
          <w:tcPr>
            <w:tcW w:type="dxa" w:w="893"/>
            <w:shd w:val="clear" w:color="auto" w:fill="1F3864"/>
          </w:tcPr>
          <w:p>
            <w:r/>
            <w:r>
              <w:rPr>
                <w:b/>
                <w:color w:val="FFFFFF"/>
                <w:sz w:val="16"/>
              </w:rPr>
              <w:t>min</w:t>
            </w:r>
          </w:p>
        </w:tc>
        <w:tc>
          <w:tcPr>
            <w:tcW w:type="dxa" w:w="893"/>
            <w:shd w:val="clear" w:color="auto" w:fill="1F3864"/>
          </w:tcPr>
          <w:p>
            <w:r/>
            <w:r>
              <w:rPr>
                <w:b/>
                <w:color w:val="FFFFFF"/>
                <w:sz w:val="16"/>
              </w:rPr>
              <w:t>25%</w:t>
            </w:r>
          </w:p>
        </w:tc>
        <w:tc>
          <w:tcPr>
            <w:tcW w:type="dxa" w:w="893"/>
            <w:shd w:val="clear" w:color="auto" w:fill="1F3864"/>
          </w:tcPr>
          <w:p>
            <w:r/>
            <w:r>
              <w:rPr>
                <w:b/>
                <w:color w:val="FFFFFF"/>
                <w:sz w:val="16"/>
              </w:rPr>
              <w:t>75%</w:t>
            </w:r>
          </w:p>
        </w:tc>
        <w:tc>
          <w:tcPr>
            <w:tcW w:type="dxa" w:w="893"/>
            <w:shd w:val="clear" w:color="auto" w:fill="1F3864"/>
          </w:tcPr>
          <w:p>
            <w:r/>
            <w:r>
              <w:rPr>
                <w:b/>
                <w:color w:val="FFFFFF"/>
                <w:sz w:val="16"/>
              </w:rPr>
              <w:t>max</w:t>
            </w:r>
          </w:p>
        </w:tc>
        <w:tc>
          <w:tcPr>
            <w:tcW w:type="dxa" w:w="893"/>
            <w:shd w:val="clear" w:color="auto" w:fill="1F3864"/>
          </w:tcPr>
          <w:p>
            <w:r/>
            <w:r>
              <w:rPr>
                <w:b/>
                <w:color w:val="FFFFFF"/>
                <w:sz w:val="16"/>
              </w:rPr>
              <w:t>skew</w:t>
            </w:r>
          </w:p>
        </w:tc>
      </w:tr>
      <w:tr>
        <w:tc>
          <w:tcPr>
            <w:tcW w:type="dxa" w:w="1440"/>
          </w:tcPr>
          <w:p>
            <w:r/>
            <w:r>
              <w:rPr>
                <w:sz w:val="16"/>
              </w:rPr>
              <w:t>age</w:t>
            </w:r>
          </w:p>
        </w:tc>
        <w:tc>
          <w:tcPr>
            <w:tcW w:type="dxa" w:w="893"/>
          </w:tcPr>
          <w:p>
            <w:pPr>
              <w:jc w:val="right"/>
            </w:pPr>
            <w:r/>
            <w:r>
              <w:rPr>
                <w:sz w:val="16"/>
              </w:rPr>
              <w:t>1,000.00</w:t>
            </w:r>
          </w:p>
        </w:tc>
        <w:tc>
          <w:tcPr>
            <w:tcW w:type="dxa" w:w="893"/>
          </w:tcPr>
          <w:p>
            <w:pPr>
              <w:jc w:val="right"/>
            </w:pPr>
            <w:r/>
            <w:r>
              <w:rPr>
                <w:sz w:val="16"/>
              </w:rPr>
              <w:t>46.70</w:t>
            </w:r>
          </w:p>
        </w:tc>
        <w:tc>
          <w:tcPr>
            <w:tcW w:type="dxa" w:w="893"/>
          </w:tcPr>
          <w:p>
            <w:pPr>
              <w:jc w:val="right"/>
            </w:pPr>
            <w:r/>
            <w:r>
              <w:rPr>
                <w:sz w:val="16"/>
              </w:rPr>
              <w:t>49.00</w:t>
            </w:r>
          </w:p>
        </w:tc>
        <w:tc>
          <w:tcPr>
            <w:tcW w:type="dxa" w:w="893"/>
          </w:tcPr>
          <w:p>
            <w:pPr>
              <w:jc w:val="right"/>
            </w:pPr>
            <w:r/>
            <w:r>
              <w:rPr>
                <w:sz w:val="16"/>
              </w:rPr>
              <w:t>14.96</w:t>
            </w:r>
          </w:p>
        </w:tc>
        <w:tc>
          <w:tcPr>
            <w:tcW w:type="dxa" w:w="893"/>
          </w:tcPr>
          <w:p>
            <w:pPr>
              <w:jc w:val="right"/>
            </w:pPr>
            <w:r/>
            <w:r>
              <w:rPr>
                <w:sz w:val="16"/>
              </w:rPr>
              <w:t>18.00</w:t>
            </w:r>
          </w:p>
        </w:tc>
        <w:tc>
          <w:tcPr>
            <w:tcW w:type="dxa" w:w="893"/>
          </w:tcPr>
          <w:p>
            <w:pPr>
              <w:jc w:val="right"/>
            </w:pPr>
            <w:r/>
            <w:r>
              <w:rPr>
                <w:sz w:val="16"/>
              </w:rPr>
              <w:t>35.00</w:t>
            </w:r>
          </w:p>
        </w:tc>
        <w:tc>
          <w:tcPr>
            <w:tcW w:type="dxa" w:w="893"/>
          </w:tcPr>
          <w:p>
            <w:pPr>
              <w:jc w:val="right"/>
            </w:pPr>
            <w:r/>
            <w:r>
              <w:rPr>
                <w:sz w:val="16"/>
              </w:rPr>
              <w:t>59.00</w:t>
            </w:r>
          </w:p>
        </w:tc>
        <w:tc>
          <w:tcPr>
            <w:tcW w:type="dxa" w:w="893"/>
          </w:tcPr>
          <w:p>
            <w:pPr>
              <w:jc w:val="right"/>
            </w:pPr>
            <w:r/>
            <w:r>
              <w:rPr>
                <w:sz w:val="16"/>
              </w:rPr>
              <w:t>69.00</w:t>
            </w:r>
          </w:p>
        </w:tc>
        <w:tc>
          <w:tcPr>
            <w:tcW w:type="dxa" w:w="893"/>
          </w:tcPr>
          <w:p>
            <w:pPr>
              <w:jc w:val="right"/>
            </w:pPr>
            <w:r/>
            <w:r>
              <w:rPr>
                <w:sz w:val="16"/>
              </w:rPr>
              <w:t>-0.28</w:t>
            </w:r>
          </w:p>
        </w:tc>
      </w:tr>
      <w:tr>
        <w:tc>
          <w:tcPr>
            <w:tcW w:type="dxa" w:w="1440"/>
          </w:tcPr>
          <w:p>
            <w:r/>
            <w:r>
              <w:rPr>
                <w:sz w:val="16"/>
              </w:rPr>
              <w:t>unit_price</w:t>
            </w:r>
          </w:p>
        </w:tc>
        <w:tc>
          <w:tcPr>
            <w:tcW w:type="dxa" w:w="893"/>
          </w:tcPr>
          <w:p>
            <w:pPr>
              <w:jc w:val="right"/>
            </w:pPr>
            <w:r/>
            <w:r>
              <w:rPr>
                <w:sz w:val="16"/>
              </w:rPr>
              <w:t>1,000.00</w:t>
            </w:r>
          </w:p>
        </w:tc>
        <w:tc>
          <w:tcPr>
            <w:tcW w:type="dxa" w:w="893"/>
          </w:tcPr>
          <w:p>
            <w:pPr>
              <w:jc w:val="right"/>
            </w:pPr>
            <w:r/>
            <w:r>
              <w:rPr>
                <w:sz w:val="16"/>
              </w:rPr>
              <w:t>446.63</w:t>
            </w:r>
          </w:p>
        </w:tc>
        <w:tc>
          <w:tcPr>
            <w:tcW w:type="dxa" w:w="893"/>
          </w:tcPr>
          <w:p>
            <w:pPr>
              <w:jc w:val="right"/>
            </w:pPr>
            <w:r/>
            <w:r>
              <w:rPr>
                <w:sz w:val="16"/>
              </w:rPr>
              <w:t>200.00</w:t>
            </w:r>
          </w:p>
        </w:tc>
        <w:tc>
          <w:tcPr>
            <w:tcW w:type="dxa" w:w="893"/>
          </w:tcPr>
          <w:p>
            <w:pPr>
              <w:jc w:val="right"/>
            </w:pPr>
            <w:r/>
            <w:r>
              <w:rPr>
                <w:sz w:val="16"/>
              </w:rPr>
              <w:t>510.90</w:t>
            </w:r>
          </w:p>
        </w:tc>
        <w:tc>
          <w:tcPr>
            <w:tcW w:type="dxa" w:w="893"/>
          </w:tcPr>
          <w:p>
            <w:pPr>
              <w:jc w:val="right"/>
            </w:pPr>
            <w:r/>
            <w:r>
              <w:rPr>
                <w:sz w:val="16"/>
              </w:rPr>
              <w:t>30.00</w:t>
            </w:r>
          </w:p>
        </w:tc>
        <w:tc>
          <w:tcPr>
            <w:tcW w:type="dxa" w:w="893"/>
          </w:tcPr>
          <w:p>
            <w:pPr>
              <w:jc w:val="right"/>
            </w:pPr>
            <w:r/>
            <w:r>
              <w:rPr>
                <w:sz w:val="16"/>
              </w:rPr>
              <w:t>50.00</w:t>
            </w:r>
          </w:p>
        </w:tc>
        <w:tc>
          <w:tcPr>
            <w:tcW w:type="dxa" w:w="893"/>
          </w:tcPr>
          <w:p>
            <w:pPr>
              <w:jc w:val="right"/>
            </w:pPr>
            <w:r/>
            <w:r>
              <w:rPr>
                <w:sz w:val="16"/>
              </w:rPr>
              <w:t>800.00</w:t>
            </w:r>
          </w:p>
        </w:tc>
        <w:tc>
          <w:tcPr>
            <w:tcW w:type="dxa" w:w="893"/>
          </w:tcPr>
          <w:p>
            <w:pPr>
              <w:jc w:val="right"/>
            </w:pPr>
            <w:r/>
            <w:r>
              <w:rPr>
                <w:sz w:val="16"/>
              </w:rPr>
              <w:t>1,500.00</w:t>
            </w:r>
          </w:p>
        </w:tc>
        <w:tc>
          <w:tcPr>
            <w:tcW w:type="dxa" w:w="893"/>
          </w:tcPr>
          <w:p>
            <w:pPr>
              <w:jc w:val="right"/>
            </w:pPr>
            <w:r/>
            <w:r>
              <w:rPr>
                <w:sz w:val="16"/>
              </w:rPr>
              <w:t>1.20</w:t>
            </w:r>
          </w:p>
        </w:tc>
      </w:tr>
      <w:tr>
        <w:tc>
          <w:tcPr>
            <w:tcW w:type="dxa" w:w="1440"/>
          </w:tcPr>
          <w:p>
            <w:r/>
            <w:r>
              <w:rPr>
                <w:sz w:val="16"/>
              </w:rPr>
              <w:t>quantity</w:t>
            </w:r>
          </w:p>
        </w:tc>
        <w:tc>
          <w:tcPr>
            <w:tcW w:type="dxa" w:w="893"/>
          </w:tcPr>
          <w:p>
            <w:pPr>
              <w:jc w:val="right"/>
            </w:pPr>
            <w:r/>
            <w:r>
              <w:rPr>
                <w:sz w:val="16"/>
              </w:rPr>
              <w:t>1,000.00</w:t>
            </w:r>
          </w:p>
        </w:tc>
        <w:tc>
          <w:tcPr>
            <w:tcW w:type="dxa" w:w="893"/>
          </w:tcPr>
          <w:p>
            <w:pPr>
              <w:jc w:val="right"/>
            </w:pPr>
            <w:r/>
            <w:r>
              <w:rPr>
                <w:sz w:val="16"/>
              </w:rPr>
              <w:t>3.01</w:t>
            </w:r>
          </w:p>
        </w:tc>
        <w:tc>
          <w:tcPr>
            <w:tcW w:type="dxa" w:w="893"/>
          </w:tcPr>
          <w:p>
            <w:pPr>
              <w:jc w:val="right"/>
            </w:pPr>
            <w:r/>
            <w:r>
              <w:rPr>
                <w:sz w:val="16"/>
              </w:rPr>
              <w:t>3.00</w:t>
            </w:r>
          </w:p>
        </w:tc>
        <w:tc>
          <w:tcPr>
            <w:tcW w:type="dxa" w:w="893"/>
          </w:tcPr>
          <w:p>
            <w:pPr>
              <w:jc w:val="right"/>
            </w:pPr>
            <w:r/>
            <w:r>
              <w:rPr>
                <w:sz w:val="16"/>
              </w:rPr>
              <w:t>1.40</w:t>
            </w:r>
          </w:p>
        </w:tc>
        <w:tc>
          <w:tcPr>
            <w:tcW w:type="dxa" w:w="893"/>
          </w:tcPr>
          <w:p>
            <w:pPr>
              <w:jc w:val="right"/>
            </w:pPr>
            <w:r/>
            <w:r>
              <w:rPr>
                <w:sz w:val="16"/>
              </w:rPr>
              <w:t>1.00</w:t>
            </w:r>
          </w:p>
        </w:tc>
        <w:tc>
          <w:tcPr>
            <w:tcW w:type="dxa" w:w="893"/>
          </w:tcPr>
          <w:p>
            <w:pPr>
              <w:jc w:val="right"/>
            </w:pPr>
            <w:r/>
            <w:r>
              <w:rPr>
                <w:sz w:val="16"/>
              </w:rPr>
              <w:t>2.00</w:t>
            </w:r>
          </w:p>
        </w:tc>
        <w:tc>
          <w:tcPr>
            <w:tcW w:type="dxa" w:w="893"/>
          </w:tcPr>
          <w:p>
            <w:pPr>
              <w:jc w:val="right"/>
            </w:pPr>
            <w:r/>
            <w:r>
              <w:rPr>
                <w:sz w:val="16"/>
              </w:rPr>
              <w:t>4.00</w:t>
            </w:r>
          </w:p>
        </w:tc>
        <w:tc>
          <w:tcPr>
            <w:tcW w:type="dxa" w:w="893"/>
          </w:tcPr>
          <w:p>
            <w:pPr>
              <w:jc w:val="right"/>
            </w:pPr>
            <w:r/>
            <w:r>
              <w:rPr>
                <w:sz w:val="16"/>
              </w:rPr>
              <w:t>5.00</w:t>
            </w:r>
          </w:p>
        </w:tc>
        <w:tc>
          <w:tcPr>
            <w:tcW w:type="dxa" w:w="893"/>
          </w:tcPr>
          <w:p>
            <w:pPr>
              <w:jc w:val="right"/>
            </w:pPr>
            <w:r/>
            <w:r>
              <w:rPr>
                <w:sz w:val="16"/>
              </w:rPr>
              <w:t>-0.01</w:t>
            </w:r>
          </w:p>
        </w:tc>
      </w:tr>
      <w:tr>
        <w:tc>
          <w:tcPr>
            <w:tcW w:type="dxa" w:w="1440"/>
          </w:tcPr>
          <w:p>
            <w:r/>
            <w:r>
              <w:rPr>
                <w:sz w:val="16"/>
              </w:rPr>
              <w:t>total_price</w:t>
            </w:r>
          </w:p>
        </w:tc>
        <w:tc>
          <w:tcPr>
            <w:tcW w:type="dxa" w:w="893"/>
          </w:tcPr>
          <w:p>
            <w:pPr>
              <w:jc w:val="right"/>
            </w:pPr>
            <w:r/>
            <w:r>
              <w:rPr>
                <w:sz w:val="16"/>
              </w:rPr>
              <w:t>1,000.00</w:t>
            </w:r>
          </w:p>
        </w:tc>
        <w:tc>
          <w:tcPr>
            <w:tcW w:type="dxa" w:w="893"/>
          </w:tcPr>
          <w:p>
            <w:pPr>
              <w:jc w:val="right"/>
            </w:pPr>
            <w:r/>
            <w:r>
              <w:rPr>
                <w:sz w:val="16"/>
              </w:rPr>
              <w:t>1,346.60</w:t>
            </w:r>
          </w:p>
        </w:tc>
        <w:tc>
          <w:tcPr>
            <w:tcW w:type="dxa" w:w="893"/>
          </w:tcPr>
          <w:p>
            <w:pPr>
              <w:jc w:val="right"/>
            </w:pPr>
            <w:r/>
            <w:r>
              <w:rPr>
                <w:sz w:val="16"/>
              </w:rPr>
              <w:t>600.00</w:t>
            </w:r>
          </w:p>
        </w:tc>
        <w:tc>
          <w:tcPr>
            <w:tcW w:type="dxa" w:w="893"/>
          </w:tcPr>
          <w:p>
            <w:pPr>
              <w:jc w:val="right"/>
            </w:pPr>
            <w:r/>
            <w:r>
              <w:rPr>
                <w:sz w:val="16"/>
              </w:rPr>
              <w:t>1,834.04</w:t>
            </w:r>
          </w:p>
        </w:tc>
        <w:tc>
          <w:tcPr>
            <w:tcW w:type="dxa" w:w="893"/>
          </w:tcPr>
          <w:p>
            <w:pPr>
              <w:jc w:val="right"/>
            </w:pPr>
            <w:r/>
            <w:r>
              <w:rPr>
                <w:sz w:val="16"/>
              </w:rPr>
              <w:t>30.00</w:t>
            </w:r>
          </w:p>
        </w:tc>
        <w:tc>
          <w:tcPr>
            <w:tcW w:type="dxa" w:w="893"/>
          </w:tcPr>
          <w:p>
            <w:pPr>
              <w:jc w:val="right"/>
            </w:pPr>
            <w:r/>
            <w:r>
              <w:rPr>
                <w:sz w:val="16"/>
              </w:rPr>
              <w:t>200.00</w:t>
            </w:r>
          </w:p>
        </w:tc>
        <w:tc>
          <w:tcPr>
            <w:tcW w:type="dxa" w:w="893"/>
          </w:tcPr>
          <w:p>
            <w:pPr>
              <w:jc w:val="right"/>
            </w:pPr>
            <w:r/>
            <w:r>
              <w:rPr>
                <w:sz w:val="16"/>
              </w:rPr>
              <w:t>1,500.00</w:t>
            </w:r>
          </w:p>
        </w:tc>
        <w:tc>
          <w:tcPr>
            <w:tcW w:type="dxa" w:w="893"/>
          </w:tcPr>
          <w:p>
            <w:pPr>
              <w:jc w:val="right"/>
            </w:pPr>
            <w:r/>
            <w:r>
              <w:rPr>
                <w:sz w:val="16"/>
              </w:rPr>
              <w:t>7,500.00</w:t>
            </w:r>
          </w:p>
        </w:tc>
        <w:tc>
          <w:tcPr>
            <w:tcW w:type="dxa" w:w="893"/>
          </w:tcPr>
          <w:p>
            <w:pPr>
              <w:jc w:val="right"/>
            </w:pPr>
            <w:r/>
            <w:r>
              <w:rPr>
                <w:sz w:val="16"/>
              </w:rPr>
              <w:t>1.93</w:t>
            </w:r>
          </w:p>
        </w:tc>
      </w:tr>
      <w:tr>
        <w:tc>
          <w:tcPr>
            <w:tcW w:type="dxa" w:w="1440"/>
          </w:tcPr>
          <w:p>
            <w:r/>
            <w:r>
              <w:rPr>
                <w:sz w:val="16"/>
              </w:rPr>
              <w:t>shipping_fee</w:t>
            </w:r>
          </w:p>
        </w:tc>
        <w:tc>
          <w:tcPr>
            <w:tcW w:type="dxa" w:w="893"/>
          </w:tcPr>
          <w:p>
            <w:pPr>
              <w:jc w:val="right"/>
            </w:pPr>
            <w:r/>
            <w:r>
              <w:rPr>
                <w:sz w:val="16"/>
              </w:rPr>
              <w:t>1,000.00</w:t>
            </w:r>
          </w:p>
        </w:tc>
        <w:tc>
          <w:tcPr>
            <w:tcW w:type="dxa" w:w="893"/>
          </w:tcPr>
          <w:p>
            <w:pPr>
              <w:jc w:val="right"/>
            </w:pPr>
            <w:r/>
            <w:r>
              <w:rPr>
                <w:sz w:val="16"/>
              </w:rPr>
              <w:t>12.42</w:t>
            </w:r>
          </w:p>
        </w:tc>
        <w:tc>
          <w:tcPr>
            <w:tcW w:type="dxa" w:w="893"/>
          </w:tcPr>
          <w:p>
            <w:pPr>
              <w:jc w:val="right"/>
            </w:pPr>
            <w:r/>
            <w:r>
              <w:rPr>
                <w:sz w:val="16"/>
              </w:rPr>
              <w:t>12.32</w:t>
            </w:r>
          </w:p>
        </w:tc>
        <w:tc>
          <w:tcPr>
            <w:tcW w:type="dxa" w:w="893"/>
          </w:tcPr>
          <w:p>
            <w:pPr>
              <w:jc w:val="right"/>
            </w:pPr>
            <w:r/>
            <w:r>
              <w:rPr>
                <w:sz w:val="16"/>
              </w:rPr>
              <w:t>4.41</w:t>
            </w:r>
          </w:p>
        </w:tc>
        <w:tc>
          <w:tcPr>
            <w:tcW w:type="dxa" w:w="893"/>
          </w:tcPr>
          <w:p>
            <w:pPr>
              <w:jc w:val="right"/>
            </w:pPr>
            <w:r/>
            <w:r>
              <w:rPr>
                <w:sz w:val="16"/>
              </w:rPr>
              <w:t>5.00</w:t>
            </w:r>
          </w:p>
        </w:tc>
        <w:tc>
          <w:tcPr>
            <w:tcW w:type="dxa" w:w="893"/>
          </w:tcPr>
          <w:p>
            <w:pPr>
              <w:jc w:val="right"/>
            </w:pPr>
            <w:r/>
            <w:r>
              <w:rPr>
                <w:sz w:val="16"/>
              </w:rPr>
              <w:t>8.56</w:t>
            </w:r>
          </w:p>
        </w:tc>
        <w:tc>
          <w:tcPr>
            <w:tcW w:type="dxa" w:w="893"/>
          </w:tcPr>
          <w:p>
            <w:pPr>
              <w:jc w:val="right"/>
            </w:pPr>
            <w:r/>
            <w:r>
              <w:rPr>
                <w:sz w:val="16"/>
              </w:rPr>
              <w:t>16.08</w:t>
            </w:r>
          </w:p>
        </w:tc>
        <w:tc>
          <w:tcPr>
            <w:tcW w:type="dxa" w:w="893"/>
          </w:tcPr>
          <w:p>
            <w:pPr>
              <w:jc w:val="right"/>
            </w:pPr>
            <w:r/>
            <w:r>
              <w:rPr>
                <w:sz w:val="16"/>
              </w:rPr>
              <w:t>19.98</w:t>
            </w:r>
          </w:p>
        </w:tc>
        <w:tc>
          <w:tcPr>
            <w:tcW w:type="dxa" w:w="893"/>
          </w:tcPr>
          <w:p>
            <w:pPr>
              <w:jc w:val="right"/>
            </w:pPr>
            <w:r/>
            <w:r>
              <w:rPr>
                <w:sz w:val="16"/>
              </w:rPr>
              <w:t>0.05</w:t>
            </w:r>
          </w:p>
        </w:tc>
      </w:tr>
    </w:tbl>
    <w:p>
      <w:pPr>
        <w:spacing w:after="40"/>
      </w:pPr>
    </w:p>
    <w:p>
      <w:r>
        <w:rPr>
          <w:b w:val="0"/>
          <w:i w:val="0"/>
        </w:rPr>
        <w:t>Order values are strongly right-skewed (mean 1,347 vs median 600) because a few high-priced Electronics orders are very large, while many Accessories orders are small. Quantity is between 1 and 5 with an average of 3.01. Age ranges from 18 to 69 (median 49). Shipping fees range from 5.00 to 19.98 with a mean of 12.42.</w:t>
      </w:r>
    </w:p>
    <w:p>
      <w:pPr>
        <w:keepNext/>
        <w:jc w:val="center"/>
      </w:pPr>
      <w:r>
        <w:drawing>
          <wp:inline xmlns:a="http://schemas.openxmlformats.org/drawingml/2006/main" xmlns:pic="http://schemas.openxmlformats.org/drawingml/2006/picture">
            <wp:extent cx="4389120" cy="2487168"/>
            <wp:docPr id="2" name="Picture 2"/>
            <wp:cNvGraphicFramePr>
              <a:graphicFrameLocks noChangeAspect="1"/>
            </wp:cNvGraphicFramePr>
            <a:graphic>
              <a:graphicData uri="http://schemas.openxmlformats.org/drawingml/2006/picture">
                <pic:pic>
                  <pic:nvPicPr>
                    <pic:cNvPr id="0" name="fig14_box_category.png"/>
                    <pic:cNvPicPr/>
                  </pic:nvPicPr>
                  <pic:blipFill>
                    <a:blip r:embed="rId12"/>
                    <a:stretch>
                      <a:fillRect/>
                    </a:stretch>
                  </pic:blipFill>
                  <pic:spPr>
                    <a:xfrm>
                      <a:off x="0" y="0"/>
                      <a:ext cx="4389120" cy="2487168"/>
                    </a:xfrm>
                    <a:prstGeom prst="rect"/>
                  </pic:spPr>
                </pic:pic>
              </a:graphicData>
            </a:graphic>
          </wp:inline>
        </w:drawing>
      </w:r>
    </w:p>
    <w:p>
      <w:pPr>
        <w:jc w:val="center"/>
      </w:pPr>
      <w:r>
        <w:rPr>
          <w:b/>
          <w:i/>
          <w:sz w:val="20"/>
        </w:rPr>
        <w:t>Figure 2: Distribution of order value by category (log scale)</w:t>
      </w:r>
    </w:p>
    <w:p>
      <w:r>
        <w:rPr>
          <w:b w:val="0"/>
          <w:i w:val="0"/>
        </w:rPr>
        <w:t>The three categories have clearly different price levels. Electronics orders are the most valuable; Accessories orders are the smallest. The log scale is used because the values differ by more than an order of magnitude.</w:t>
      </w:r>
    </w:p>
    <w:p>
      <w:pPr>
        <w:pStyle w:val="Heading1"/>
      </w:pPr>
      <w:r>
        <w:t>12. Statistical Analysis</w:t>
      </w:r>
    </w:p>
    <w:p>
      <w:pPr>
        <w:pStyle w:val="Heading2"/>
      </w:pPr>
      <w:r>
        <w:t>Correlation analysis</w:t>
      </w:r>
    </w:p>
    <w:p>
      <w:pPr>
        <w:keepNext/>
        <w:jc w:val="center"/>
      </w:pPr>
      <w:r>
        <w:drawing>
          <wp:inline xmlns:a="http://schemas.openxmlformats.org/drawingml/2006/main" xmlns:pic="http://schemas.openxmlformats.org/drawingml/2006/picture">
            <wp:extent cx="4206240" cy="3397348"/>
            <wp:docPr id="3" name="Picture 3"/>
            <wp:cNvGraphicFramePr>
              <a:graphicFrameLocks noChangeAspect="1"/>
            </wp:cNvGraphicFramePr>
            <a:graphic>
              <a:graphicData uri="http://schemas.openxmlformats.org/drawingml/2006/picture">
                <pic:pic>
                  <pic:nvPicPr>
                    <pic:cNvPr id="0" name="fig13_correlation.png"/>
                    <pic:cNvPicPr/>
                  </pic:nvPicPr>
                  <pic:blipFill>
                    <a:blip r:embed="rId13"/>
                    <a:stretch>
                      <a:fillRect/>
                    </a:stretch>
                  </pic:blipFill>
                  <pic:spPr>
                    <a:xfrm>
                      <a:off x="0" y="0"/>
                      <a:ext cx="4206240" cy="3397348"/>
                    </a:xfrm>
                    <a:prstGeom prst="rect"/>
                  </pic:spPr>
                </pic:pic>
              </a:graphicData>
            </a:graphic>
          </wp:inline>
        </w:drawing>
      </w:r>
    </w:p>
    <w:p>
      <w:pPr>
        <w:jc w:val="center"/>
      </w:pPr>
      <w:r>
        <w:rPr>
          <w:b/>
          <w:i/>
          <w:sz w:val="20"/>
        </w:rPr>
        <w:t>Figure 3: Correlation matrix of numeric fields</w:t>
      </w:r>
    </w:p>
    <w:p>
      <w:r>
        <w:rPr>
          <w:b w:val="0"/>
          <w:i w:val="0"/>
        </w:rPr>
        <w:t>Total Price is strongly related to Unit Price (r = 0.84) and moderately to Quantity (r = 0.36), which is expected because Total Price = Unit Price x Quantity. Shipping Fee has almost no correlation with any other field (largest absolute value 0.05), so shipping fees do not depend on order value. Age is only very weakly related to the other fields.</w:t>
      </w:r>
    </w:p>
    <w:p>
      <w:pPr>
        <w:pStyle w:val="Heading2"/>
      </w:pPr>
      <w:r>
        <w:t>Hypothesis tests</w:t>
      </w:r>
    </w:p>
    <w:p>
      <w:r>
        <w:rPr>
          <w:b w:val="0"/>
          <w:i w:val="0"/>
        </w:rPr>
        <w:t>Each test answers a business question at the 5% significance level (a p-value below 0.05 means the pattern is unlikely to be chance). Chi-square tests compare shipping-status mix between groups. Kruskal-Wallis and Mann-Whitney tests are used for order value because it is highly skewed (a non-normal distribution), and Spearman correlation for age and order value.</w:t>
      </w:r>
    </w:p>
    <w:p>
      <w:pPr>
        <w:keepNext/>
      </w:pPr>
      <w:r>
        <w:rPr>
          <w:b/>
          <w:i w:val="0"/>
          <w:sz w:val="20"/>
        </w:rPr>
        <w:t>Table 8: Statistical test results</w:t>
      </w:r>
    </w:p>
    <w:tbl>
      <w:tblPr>
        <w:tblStyle w:val="TableGrid"/>
        <w:tblW w:type="auto" w:w="0"/>
        <w:jc w:val="center"/>
        <w:tblLayout w:type="fixed"/>
        <w:tblLook w:firstColumn="1" w:firstRow="1" w:lastColumn="0" w:lastRow="0" w:noHBand="0" w:noVBand="1" w:val="04A0"/>
      </w:tblPr>
      <w:tblGrid>
        <w:gridCol w:w="3312"/>
        <w:gridCol w:w="1872"/>
        <w:gridCol w:w="1152"/>
        <w:gridCol w:w="1008"/>
        <w:gridCol w:w="1872"/>
      </w:tblGrid>
      <w:tr>
        <w:trPr>
          <w:tblHeader w:val="true"/>
        </w:trPr>
        <w:tc>
          <w:tcPr>
            <w:tcW w:type="dxa" w:w="3312"/>
            <w:shd w:val="clear" w:color="auto" w:fill="1F3864"/>
          </w:tcPr>
          <w:p>
            <w:r/>
            <w:r>
              <w:rPr>
                <w:b/>
                <w:color w:val="FFFFFF"/>
                <w:sz w:val="16"/>
              </w:rPr>
              <w:t>Business question</w:t>
            </w:r>
          </w:p>
        </w:tc>
        <w:tc>
          <w:tcPr>
            <w:tcW w:type="dxa" w:w="1872"/>
            <w:shd w:val="clear" w:color="auto" w:fill="1F3864"/>
          </w:tcPr>
          <w:p>
            <w:r/>
            <w:r>
              <w:rPr>
                <w:b/>
                <w:color w:val="FFFFFF"/>
                <w:sz w:val="16"/>
              </w:rPr>
              <w:t>Test</w:t>
            </w:r>
          </w:p>
        </w:tc>
        <w:tc>
          <w:tcPr>
            <w:tcW w:type="dxa" w:w="1152"/>
            <w:shd w:val="clear" w:color="auto" w:fill="1F3864"/>
          </w:tcPr>
          <w:p>
            <w:r/>
            <w:r>
              <w:rPr>
                <w:b/>
                <w:color w:val="FFFFFF"/>
                <w:sz w:val="16"/>
              </w:rPr>
              <w:t>Statistic</w:t>
            </w:r>
          </w:p>
        </w:tc>
        <w:tc>
          <w:tcPr>
            <w:tcW w:type="dxa" w:w="1008"/>
            <w:shd w:val="clear" w:color="auto" w:fill="1F3864"/>
          </w:tcPr>
          <w:p>
            <w:r/>
            <w:r>
              <w:rPr>
                <w:b/>
                <w:color w:val="FFFFFF"/>
                <w:sz w:val="16"/>
              </w:rPr>
              <w:t>p-value</w:t>
            </w:r>
          </w:p>
        </w:tc>
        <w:tc>
          <w:tcPr>
            <w:tcW w:type="dxa" w:w="1872"/>
            <w:shd w:val="clear" w:color="auto" w:fill="1F3864"/>
          </w:tcPr>
          <w:p>
            <w:r/>
            <w:r>
              <w:rPr>
                <w:b/>
                <w:color w:val="FFFFFF"/>
                <w:sz w:val="16"/>
              </w:rPr>
              <w:t>Result</w:t>
            </w:r>
          </w:p>
        </w:tc>
      </w:tr>
      <w:tr>
        <w:tc>
          <w:tcPr>
            <w:tcW w:type="dxa" w:w="3312"/>
          </w:tcPr>
          <w:p>
            <w:r/>
            <w:r>
              <w:rPr>
                <w:sz w:val="16"/>
              </w:rPr>
              <w:t>Is shipping status related to Region?</w:t>
            </w:r>
          </w:p>
        </w:tc>
        <w:tc>
          <w:tcPr>
            <w:tcW w:type="dxa" w:w="1872"/>
          </w:tcPr>
          <w:p>
            <w:r/>
            <w:r>
              <w:rPr>
                <w:sz w:val="16"/>
              </w:rPr>
              <w:t>Chi-square independence</w:t>
            </w:r>
          </w:p>
        </w:tc>
        <w:tc>
          <w:tcPr>
            <w:tcW w:type="dxa" w:w="1152"/>
          </w:tcPr>
          <w:p>
            <w:pPr>
              <w:jc w:val="right"/>
            </w:pPr>
            <w:r/>
            <w:r>
              <w:rPr>
                <w:sz w:val="16"/>
              </w:rPr>
              <w:t>24.91</w:t>
            </w:r>
          </w:p>
        </w:tc>
        <w:tc>
          <w:tcPr>
            <w:tcW w:type="dxa" w:w="1008"/>
          </w:tcPr>
          <w:p>
            <w:pPr>
              <w:jc w:val="right"/>
            </w:pPr>
            <w:r/>
            <w:r>
              <w:rPr>
                <w:sz w:val="16"/>
              </w:rPr>
              <w:t>0.0004</w:t>
            </w:r>
          </w:p>
        </w:tc>
        <w:tc>
          <w:tcPr>
            <w:tcW w:type="dxa" w:w="1872"/>
          </w:tcPr>
          <w:p>
            <w:r/>
            <w:r>
              <w:rPr>
                <w:sz w:val="16"/>
              </w:rPr>
              <w:t>Significant difference/relationship</w:t>
            </w:r>
          </w:p>
        </w:tc>
      </w:tr>
      <w:tr>
        <w:tc>
          <w:tcPr>
            <w:tcW w:type="dxa" w:w="3312"/>
          </w:tcPr>
          <w:p>
            <w:r/>
            <w:r>
              <w:rPr>
                <w:sz w:val="16"/>
              </w:rPr>
              <w:t>Is shipping status related to Category?</w:t>
            </w:r>
          </w:p>
        </w:tc>
        <w:tc>
          <w:tcPr>
            <w:tcW w:type="dxa" w:w="1872"/>
          </w:tcPr>
          <w:p>
            <w:r/>
            <w:r>
              <w:rPr>
                <w:sz w:val="16"/>
              </w:rPr>
              <w:t>Chi-square independence</w:t>
            </w:r>
          </w:p>
        </w:tc>
        <w:tc>
          <w:tcPr>
            <w:tcW w:type="dxa" w:w="1152"/>
          </w:tcPr>
          <w:p>
            <w:pPr>
              <w:jc w:val="right"/>
            </w:pPr>
            <w:r/>
            <w:r>
              <w:rPr>
                <w:sz w:val="16"/>
              </w:rPr>
              <w:t>1.306</w:t>
            </w:r>
          </w:p>
        </w:tc>
        <w:tc>
          <w:tcPr>
            <w:tcW w:type="dxa" w:w="1008"/>
          </w:tcPr>
          <w:p>
            <w:pPr>
              <w:jc w:val="right"/>
            </w:pPr>
            <w:r/>
            <w:r>
              <w:rPr>
                <w:sz w:val="16"/>
              </w:rPr>
              <w:t>0.8604</w:t>
            </w:r>
          </w:p>
        </w:tc>
        <w:tc>
          <w:tcPr>
            <w:tcW w:type="dxa" w:w="1872"/>
          </w:tcPr>
          <w:p>
            <w:r/>
            <w:r>
              <w:rPr>
                <w:sz w:val="16"/>
              </w:rPr>
              <w:t>No significant evidence</w:t>
            </w:r>
          </w:p>
        </w:tc>
      </w:tr>
      <w:tr>
        <w:tc>
          <w:tcPr>
            <w:tcW w:type="dxa" w:w="3312"/>
          </w:tcPr>
          <w:p>
            <w:r/>
            <w:r>
              <w:rPr>
                <w:sz w:val="16"/>
              </w:rPr>
              <w:t>Is shipping status related to Gender?</w:t>
            </w:r>
          </w:p>
        </w:tc>
        <w:tc>
          <w:tcPr>
            <w:tcW w:type="dxa" w:w="1872"/>
          </w:tcPr>
          <w:p>
            <w:r/>
            <w:r>
              <w:rPr>
                <w:sz w:val="16"/>
              </w:rPr>
              <w:t>Chi-square independence</w:t>
            </w:r>
          </w:p>
        </w:tc>
        <w:tc>
          <w:tcPr>
            <w:tcW w:type="dxa" w:w="1152"/>
          </w:tcPr>
          <w:p>
            <w:pPr>
              <w:jc w:val="right"/>
            </w:pPr>
            <w:r/>
            <w:r>
              <w:rPr>
                <w:sz w:val="16"/>
              </w:rPr>
              <w:t>2.233</w:t>
            </w:r>
          </w:p>
        </w:tc>
        <w:tc>
          <w:tcPr>
            <w:tcW w:type="dxa" w:w="1008"/>
          </w:tcPr>
          <w:p>
            <w:pPr>
              <w:jc w:val="right"/>
            </w:pPr>
            <w:r/>
            <w:r>
              <w:rPr>
                <w:sz w:val="16"/>
              </w:rPr>
              <w:t>0.3275</w:t>
            </w:r>
          </w:p>
        </w:tc>
        <w:tc>
          <w:tcPr>
            <w:tcW w:type="dxa" w:w="1872"/>
          </w:tcPr>
          <w:p>
            <w:r/>
            <w:r>
              <w:rPr>
                <w:sz w:val="16"/>
              </w:rPr>
              <w:t>No significant evidence</w:t>
            </w:r>
          </w:p>
        </w:tc>
      </w:tr>
      <w:tr>
        <w:tc>
          <w:tcPr>
            <w:tcW w:type="dxa" w:w="3312"/>
          </w:tcPr>
          <w:p>
            <w:r/>
            <w:r>
              <w:rPr>
                <w:sz w:val="16"/>
              </w:rPr>
              <w:t>Does order value differ between regions?</w:t>
            </w:r>
          </w:p>
        </w:tc>
        <w:tc>
          <w:tcPr>
            <w:tcW w:type="dxa" w:w="1872"/>
          </w:tcPr>
          <w:p>
            <w:r/>
            <w:r>
              <w:rPr>
                <w:sz w:val="16"/>
              </w:rPr>
              <w:t>Kruskal-Wallis</w:t>
            </w:r>
          </w:p>
        </w:tc>
        <w:tc>
          <w:tcPr>
            <w:tcW w:type="dxa" w:w="1152"/>
          </w:tcPr>
          <w:p>
            <w:pPr>
              <w:jc w:val="right"/>
            </w:pPr>
            <w:r/>
            <w:r>
              <w:rPr>
                <w:sz w:val="16"/>
              </w:rPr>
              <w:t>1.468</w:t>
            </w:r>
          </w:p>
        </w:tc>
        <w:tc>
          <w:tcPr>
            <w:tcW w:type="dxa" w:w="1008"/>
          </w:tcPr>
          <w:p>
            <w:pPr>
              <w:jc w:val="right"/>
            </w:pPr>
            <w:r/>
            <w:r>
              <w:rPr>
                <w:sz w:val="16"/>
              </w:rPr>
              <w:t>0.6896</w:t>
            </w:r>
          </w:p>
        </w:tc>
        <w:tc>
          <w:tcPr>
            <w:tcW w:type="dxa" w:w="1872"/>
          </w:tcPr>
          <w:p>
            <w:r/>
            <w:r>
              <w:rPr>
                <w:sz w:val="16"/>
              </w:rPr>
              <w:t>No significant evidence</w:t>
            </w:r>
          </w:p>
        </w:tc>
      </w:tr>
      <w:tr>
        <w:tc>
          <w:tcPr>
            <w:tcW w:type="dxa" w:w="3312"/>
          </w:tcPr>
          <w:p>
            <w:r/>
            <w:r>
              <w:rPr>
                <w:sz w:val="16"/>
              </w:rPr>
              <w:t>Does order value differ between Male and Female customers?</w:t>
            </w:r>
          </w:p>
        </w:tc>
        <w:tc>
          <w:tcPr>
            <w:tcW w:type="dxa" w:w="1872"/>
          </w:tcPr>
          <w:p>
            <w:r/>
            <w:r>
              <w:rPr>
                <w:sz w:val="16"/>
              </w:rPr>
              <w:t>Mann-Whitney U</w:t>
            </w:r>
          </w:p>
        </w:tc>
        <w:tc>
          <w:tcPr>
            <w:tcW w:type="dxa" w:w="1152"/>
          </w:tcPr>
          <w:p>
            <w:pPr>
              <w:jc w:val="right"/>
            </w:pPr>
            <w:r/>
            <w:r>
              <w:rPr>
                <w:sz w:val="16"/>
              </w:rPr>
              <w:t>128791.5</w:t>
            </w:r>
          </w:p>
        </w:tc>
        <w:tc>
          <w:tcPr>
            <w:tcW w:type="dxa" w:w="1008"/>
          </w:tcPr>
          <w:p>
            <w:pPr>
              <w:jc w:val="right"/>
            </w:pPr>
            <w:r/>
            <w:r>
              <w:rPr>
                <w:sz w:val="16"/>
              </w:rPr>
              <w:t>0.3706</w:t>
            </w:r>
          </w:p>
        </w:tc>
        <w:tc>
          <w:tcPr>
            <w:tcW w:type="dxa" w:w="1872"/>
          </w:tcPr>
          <w:p>
            <w:r/>
            <w:r>
              <w:rPr>
                <w:sz w:val="16"/>
              </w:rPr>
              <w:t>No significant evidence</w:t>
            </w:r>
          </w:p>
        </w:tc>
      </w:tr>
      <w:tr>
        <w:tc>
          <w:tcPr>
            <w:tcW w:type="dxa" w:w="3312"/>
          </w:tcPr>
          <w:p>
            <w:r/>
            <w:r>
              <w:rPr>
                <w:sz w:val="16"/>
              </w:rPr>
              <w:t>Is customer age related to order value?</w:t>
            </w:r>
          </w:p>
        </w:tc>
        <w:tc>
          <w:tcPr>
            <w:tcW w:type="dxa" w:w="1872"/>
          </w:tcPr>
          <w:p>
            <w:r/>
            <w:r>
              <w:rPr>
                <w:sz w:val="16"/>
              </w:rPr>
              <w:t>Spearman correlation</w:t>
            </w:r>
          </w:p>
        </w:tc>
        <w:tc>
          <w:tcPr>
            <w:tcW w:type="dxa" w:w="1152"/>
          </w:tcPr>
          <w:p>
            <w:pPr>
              <w:jc w:val="right"/>
            </w:pPr>
            <w:r/>
            <w:r>
              <w:rPr>
                <w:sz w:val="16"/>
              </w:rPr>
              <w:t>0.068</w:t>
            </w:r>
          </w:p>
        </w:tc>
        <w:tc>
          <w:tcPr>
            <w:tcW w:type="dxa" w:w="1008"/>
          </w:tcPr>
          <w:p>
            <w:pPr>
              <w:jc w:val="right"/>
            </w:pPr>
            <w:r/>
            <w:r>
              <w:rPr>
                <w:sz w:val="16"/>
              </w:rPr>
              <w:t>0.0306</w:t>
            </w:r>
          </w:p>
        </w:tc>
        <w:tc>
          <w:tcPr>
            <w:tcW w:type="dxa" w:w="1872"/>
          </w:tcPr>
          <w:p>
            <w:r/>
            <w:r>
              <w:rPr>
                <w:sz w:val="16"/>
              </w:rPr>
              <w:t>Significant difference/relationship</w:t>
            </w:r>
          </w:p>
        </w:tc>
      </w:tr>
    </w:tbl>
    <w:p>
      <w:pPr>
        <w:spacing w:after="40"/>
      </w:pPr>
    </w:p>
    <w:p>
      <w:r>
        <w:rPr>
          <w:b w:val="0"/>
          <w:i w:val="0"/>
        </w:rPr>
        <w:t>In plain language: shipping status is related to region (p = 0.0004), so the differences in return rate between regions are unlikely to be random. Shipping status is not related to category or gender, and order value does not differ significantly between regions or genders. Age and order value show a correlation of 0.07 (p = 0.031); this is statistically significant but so weak that it has little practical importance. With many tests, one borderline result could also arise by chance, so it should not be over-interpreted.</w:t>
      </w:r>
    </w:p>
    <w:p>
      <w:pPr>
        <w:pStyle w:val="Heading1"/>
      </w:pPr>
      <w:r>
        <w:t>13. KPI Analysis</w:t>
      </w:r>
    </w:p>
    <w:p>
      <w:pPr>
        <w:keepNext/>
      </w:pPr>
      <w:r>
        <w:rPr>
          <w:b/>
          <w:i w:val="0"/>
          <w:sz w:val="20"/>
        </w:rPr>
        <w:t>Table 9: Key performance indicators (all orders)</w:t>
      </w:r>
    </w:p>
    <w:tbl>
      <w:tblPr>
        <w:tblStyle w:val="TableGrid"/>
        <w:tblW w:type="auto" w:w="0"/>
        <w:jc w:val="center"/>
        <w:tblLayout w:type="fixed"/>
        <w:tblLook w:firstColumn="1" w:firstRow="1" w:lastColumn="0" w:lastRow="0" w:noHBand="0" w:noVBand="1" w:val="04A0"/>
      </w:tblPr>
      <w:tblGrid>
        <w:gridCol w:w="5472"/>
        <w:gridCol w:w="2880"/>
      </w:tblGrid>
      <w:tr>
        <w:trPr>
          <w:tblHeader w:val="true"/>
        </w:trPr>
        <w:tc>
          <w:tcPr>
            <w:tcW w:type="dxa" w:w="5472"/>
            <w:shd w:val="clear" w:color="auto" w:fill="1F3864"/>
          </w:tcPr>
          <w:p>
            <w:r/>
            <w:r>
              <w:rPr>
                <w:b/>
                <w:color w:val="FFFFFF"/>
                <w:sz w:val="18"/>
              </w:rPr>
              <w:t>KPI</w:t>
            </w:r>
          </w:p>
        </w:tc>
        <w:tc>
          <w:tcPr>
            <w:tcW w:type="dxa" w:w="2880"/>
            <w:shd w:val="clear" w:color="auto" w:fill="1F3864"/>
          </w:tcPr>
          <w:p>
            <w:r/>
            <w:r>
              <w:rPr>
                <w:b/>
                <w:color w:val="FFFFFF"/>
                <w:sz w:val="18"/>
              </w:rPr>
              <w:t>Value</w:t>
            </w:r>
          </w:p>
        </w:tc>
      </w:tr>
      <w:tr>
        <w:tc>
          <w:tcPr>
            <w:tcW w:type="dxa" w:w="5472"/>
          </w:tcPr>
          <w:p>
            <w:r/>
            <w:r>
              <w:rPr>
                <w:sz w:val="18"/>
              </w:rPr>
              <w:t>Total Revenue</w:t>
            </w:r>
          </w:p>
        </w:tc>
        <w:tc>
          <w:tcPr>
            <w:tcW w:type="dxa" w:w="2880"/>
          </w:tcPr>
          <w:p>
            <w:pPr>
              <w:jc w:val="right"/>
            </w:pPr>
            <w:r/>
            <w:r>
              <w:rPr>
                <w:sz w:val="18"/>
              </w:rPr>
              <w:t>1,346,600</w:t>
            </w:r>
          </w:p>
        </w:tc>
      </w:tr>
      <w:tr>
        <w:tc>
          <w:tcPr>
            <w:tcW w:type="dxa" w:w="5472"/>
          </w:tcPr>
          <w:p>
            <w:r/>
            <w:r>
              <w:rPr>
                <w:sz w:val="18"/>
              </w:rPr>
              <w:t>Net Revenue (excl. returned orders)</w:t>
            </w:r>
          </w:p>
        </w:tc>
        <w:tc>
          <w:tcPr>
            <w:tcW w:type="dxa" w:w="2880"/>
          </w:tcPr>
          <w:p>
            <w:pPr>
              <w:jc w:val="right"/>
            </w:pPr>
            <w:r/>
            <w:r>
              <w:rPr>
                <w:sz w:val="18"/>
              </w:rPr>
              <w:t>930,960</w:t>
            </w:r>
          </w:p>
        </w:tc>
      </w:tr>
      <w:tr>
        <w:tc>
          <w:tcPr>
            <w:tcW w:type="dxa" w:w="5472"/>
          </w:tcPr>
          <w:p>
            <w:r/>
            <w:r>
              <w:rPr>
                <w:sz w:val="18"/>
              </w:rPr>
              <w:t>Returned Revenue</w:t>
            </w:r>
          </w:p>
        </w:tc>
        <w:tc>
          <w:tcPr>
            <w:tcW w:type="dxa" w:w="2880"/>
          </w:tcPr>
          <w:p>
            <w:pPr>
              <w:jc w:val="right"/>
            </w:pPr>
            <w:r/>
            <w:r>
              <w:rPr>
                <w:sz w:val="18"/>
              </w:rPr>
              <w:t>415,640</w:t>
            </w:r>
          </w:p>
        </w:tc>
      </w:tr>
      <w:tr>
        <w:tc>
          <w:tcPr>
            <w:tcW w:type="dxa" w:w="5472"/>
          </w:tcPr>
          <w:p>
            <w:r/>
            <w:r>
              <w:rPr>
                <w:sz w:val="18"/>
              </w:rPr>
              <w:t>Total Orders</w:t>
            </w:r>
          </w:p>
        </w:tc>
        <w:tc>
          <w:tcPr>
            <w:tcW w:type="dxa" w:w="2880"/>
          </w:tcPr>
          <w:p>
            <w:pPr>
              <w:jc w:val="right"/>
            </w:pPr>
            <w:r/>
            <w:r>
              <w:rPr>
                <w:sz w:val="18"/>
              </w:rPr>
              <w:t>1,000</w:t>
            </w:r>
          </w:p>
        </w:tc>
      </w:tr>
      <w:tr>
        <w:tc>
          <w:tcPr>
            <w:tcW w:type="dxa" w:w="5472"/>
          </w:tcPr>
          <w:p>
            <w:r/>
            <w:r>
              <w:rPr>
                <w:sz w:val="18"/>
              </w:rPr>
              <w:t>Total Quantity Sold</w:t>
            </w:r>
          </w:p>
        </w:tc>
        <w:tc>
          <w:tcPr>
            <w:tcW w:type="dxa" w:w="2880"/>
          </w:tcPr>
          <w:p>
            <w:pPr>
              <w:jc w:val="right"/>
            </w:pPr>
            <w:r/>
            <w:r>
              <w:rPr>
                <w:sz w:val="18"/>
              </w:rPr>
              <w:t>3,008</w:t>
            </w:r>
          </w:p>
        </w:tc>
      </w:tr>
      <w:tr>
        <w:tc>
          <w:tcPr>
            <w:tcW w:type="dxa" w:w="5472"/>
          </w:tcPr>
          <w:p>
            <w:r/>
            <w:r>
              <w:rPr>
                <w:sz w:val="18"/>
              </w:rPr>
              <w:t>Average Order Value</w:t>
            </w:r>
          </w:p>
        </w:tc>
        <w:tc>
          <w:tcPr>
            <w:tcW w:type="dxa" w:w="2880"/>
          </w:tcPr>
          <w:p>
            <w:pPr>
              <w:jc w:val="right"/>
            </w:pPr>
            <w:r/>
            <w:r>
              <w:rPr>
                <w:sz w:val="18"/>
              </w:rPr>
              <w:t>1,346.60</w:t>
            </w:r>
          </w:p>
        </w:tc>
      </w:tr>
      <w:tr>
        <w:tc>
          <w:tcPr>
            <w:tcW w:type="dxa" w:w="5472"/>
          </w:tcPr>
          <w:p>
            <w:r/>
            <w:r>
              <w:rPr>
                <w:sz w:val="18"/>
              </w:rPr>
              <w:t>Average Unit Price (after correction)</w:t>
            </w:r>
          </w:p>
        </w:tc>
        <w:tc>
          <w:tcPr>
            <w:tcW w:type="dxa" w:w="2880"/>
          </w:tcPr>
          <w:p>
            <w:pPr>
              <w:jc w:val="right"/>
            </w:pPr>
            <w:r/>
            <w:r>
              <w:rPr>
                <w:sz w:val="18"/>
              </w:rPr>
              <w:t>446.63</w:t>
            </w:r>
          </w:p>
        </w:tc>
      </w:tr>
      <w:tr>
        <w:tc>
          <w:tcPr>
            <w:tcW w:type="dxa" w:w="5472"/>
          </w:tcPr>
          <w:p>
            <w:r/>
            <w:r>
              <w:rPr>
                <w:sz w:val="18"/>
              </w:rPr>
              <w:t>Total Shipping Fees</w:t>
            </w:r>
          </w:p>
        </w:tc>
        <w:tc>
          <w:tcPr>
            <w:tcW w:type="dxa" w:w="2880"/>
          </w:tcPr>
          <w:p>
            <w:pPr>
              <w:jc w:val="right"/>
            </w:pPr>
            <w:r/>
            <w:r>
              <w:rPr>
                <w:sz w:val="18"/>
              </w:rPr>
              <w:t>12,416.39</w:t>
            </w:r>
          </w:p>
        </w:tc>
      </w:tr>
      <w:tr>
        <w:tc>
          <w:tcPr>
            <w:tcW w:type="dxa" w:w="5472"/>
          </w:tcPr>
          <w:p>
            <w:r/>
            <w:r>
              <w:rPr>
                <w:sz w:val="18"/>
              </w:rPr>
              <w:t>Average Shipping Fee</w:t>
            </w:r>
          </w:p>
        </w:tc>
        <w:tc>
          <w:tcPr>
            <w:tcW w:type="dxa" w:w="2880"/>
          </w:tcPr>
          <w:p>
            <w:pPr>
              <w:jc w:val="right"/>
            </w:pPr>
            <w:r/>
            <w:r>
              <w:rPr>
                <w:sz w:val="18"/>
              </w:rPr>
              <w:t>12.42</w:t>
            </w:r>
          </w:p>
        </w:tc>
      </w:tr>
      <w:tr>
        <w:tc>
          <w:tcPr>
            <w:tcW w:type="dxa" w:w="5472"/>
          </w:tcPr>
          <w:p>
            <w:r/>
            <w:r>
              <w:rPr>
                <w:sz w:val="18"/>
              </w:rPr>
              <w:t>Shipping Fees as % of Revenue</w:t>
            </w:r>
          </w:p>
        </w:tc>
        <w:tc>
          <w:tcPr>
            <w:tcW w:type="dxa" w:w="2880"/>
          </w:tcPr>
          <w:p>
            <w:pPr>
              <w:jc w:val="right"/>
            </w:pPr>
            <w:r/>
            <w:r>
              <w:rPr>
                <w:sz w:val="18"/>
              </w:rPr>
              <w:t>0.92%</w:t>
            </w:r>
          </w:p>
        </w:tc>
      </w:tr>
      <w:tr>
        <w:tc>
          <w:tcPr>
            <w:tcW w:type="dxa" w:w="5472"/>
          </w:tcPr>
          <w:p>
            <w:r/>
            <w:r>
              <w:rPr>
                <w:sz w:val="18"/>
              </w:rPr>
              <w:t>Unique Customer IDs</w:t>
            </w:r>
          </w:p>
        </w:tc>
        <w:tc>
          <w:tcPr>
            <w:tcW w:type="dxa" w:w="2880"/>
          </w:tcPr>
          <w:p>
            <w:pPr>
              <w:jc w:val="right"/>
            </w:pPr>
            <w:r/>
            <w:r>
              <w:rPr>
                <w:sz w:val="18"/>
              </w:rPr>
              <w:t>292</w:t>
            </w:r>
          </w:p>
        </w:tc>
      </w:tr>
      <w:tr>
        <w:tc>
          <w:tcPr>
            <w:tcW w:type="dxa" w:w="5472"/>
          </w:tcPr>
          <w:p>
            <w:r/>
            <w:r>
              <w:rPr>
                <w:sz w:val="18"/>
              </w:rPr>
              <w:t>Average Orders per Customer</w:t>
            </w:r>
          </w:p>
        </w:tc>
        <w:tc>
          <w:tcPr>
            <w:tcW w:type="dxa" w:w="2880"/>
          </w:tcPr>
          <w:p>
            <w:pPr>
              <w:jc w:val="right"/>
            </w:pPr>
            <w:r/>
            <w:r>
              <w:rPr>
                <w:sz w:val="18"/>
              </w:rPr>
              <w:t>3.42</w:t>
            </w:r>
          </w:p>
        </w:tc>
      </w:tr>
      <w:tr>
        <w:tc>
          <w:tcPr>
            <w:tcW w:type="dxa" w:w="5472"/>
          </w:tcPr>
          <w:p>
            <w:r/>
            <w:r>
              <w:rPr>
                <w:sz w:val="18"/>
              </w:rPr>
              <w:t>Return Rate (known status)</w:t>
            </w:r>
          </w:p>
        </w:tc>
        <w:tc>
          <w:tcPr>
            <w:tcW w:type="dxa" w:w="2880"/>
          </w:tcPr>
          <w:p>
            <w:pPr>
              <w:jc w:val="right"/>
            </w:pPr>
            <w:r/>
            <w:r>
              <w:rPr>
                <w:sz w:val="18"/>
              </w:rPr>
              <w:t>32.4%</w:t>
            </w:r>
          </w:p>
        </w:tc>
      </w:tr>
      <w:tr>
        <w:tc>
          <w:tcPr>
            <w:tcW w:type="dxa" w:w="5472"/>
          </w:tcPr>
          <w:p>
            <w:r/>
            <w:r>
              <w:rPr>
                <w:sz w:val="18"/>
              </w:rPr>
              <w:t>Delivered Rate (known status)</w:t>
            </w:r>
          </w:p>
        </w:tc>
        <w:tc>
          <w:tcPr>
            <w:tcW w:type="dxa" w:w="2880"/>
          </w:tcPr>
          <w:p>
            <w:pPr>
              <w:jc w:val="right"/>
            </w:pPr>
            <w:r/>
            <w:r>
              <w:rPr>
                <w:sz w:val="18"/>
              </w:rPr>
              <w:t>32.9%</w:t>
            </w:r>
          </w:p>
        </w:tc>
      </w:tr>
      <w:tr>
        <w:tc>
          <w:tcPr>
            <w:tcW w:type="dxa" w:w="5472"/>
          </w:tcPr>
          <w:p>
            <w:r/>
            <w:r>
              <w:rPr>
                <w:sz w:val="18"/>
              </w:rPr>
              <w:t>In Transit Rate (known status)</w:t>
            </w:r>
          </w:p>
        </w:tc>
        <w:tc>
          <w:tcPr>
            <w:tcW w:type="dxa" w:w="2880"/>
          </w:tcPr>
          <w:p>
            <w:pPr>
              <w:jc w:val="right"/>
            </w:pPr>
            <w:r/>
            <w:r>
              <w:rPr>
                <w:sz w:val="18"/>
              </w:rPr>
              <w:t>34.6%</w:t>
            </w:r>
          </w:p>
        </w:tc>
      </w:tr>
      <w:tr>
        <w:tc>
          <w:tcPr>
            <w:tcW w:type="dxa" w:w="5472"/>
          </w:tcPr>
          <w:p>
            <w:r/>
            <w:r>
              <w:rPr>
                <w:sz w:val="18"/>
              </w:rPr>
              <w:t>Orders with unknown status</w:t>
            </w:r>
          </w:p>
        </w:tc>
        <w:tc>
          <w:tcPr>
            <w:tcW w:type="dxa" w:w="2880"/>
          </w:tcPr>
          <w:p>
            <w:pPr>
              <w:jc w:val="right"/>
            </w:pPr>
            <w:r/>
            <w:r>
              <w:rPr>
                <w:sz w:val="18"/>
              </w:rPr>
              <w:t>5.0%</w:t>
            </w:r>
          </w:p>
        </w:tc>
      </w:tr>
    </w:tbl>
    <w:p>
      <w:pPr>
        <w:spacing w:after="40"/>
      </w:pPr>
    </w:p>
    <w:p>
      <w:r>
        <w:rPr>
          <w:b w:val="0"/>
          <w:i w:val="0"/>
        </w:rPr>
        <w:t>Returned orders represent 30.9% of revenue. Shipping fees are small compared with revenue (0.92%). Currency is not stated in the dataset, so values are shown as plain numbers. Rates use orders with a known shipping status (950 of 1,000).</w:t>
      </w:r>
    </w:p>
    <w:p>
      <w:pPr>
        <w:pStyle w:val="Heading1"/>
      </w:pPr>
      <w:r>
        <w:t>14. Customer Analysis</w:t>
      </w:r>
    </w:p>
    <w:p>
      <w:r>
        <w:rPr>
          <w:b w:val="0"/>
          <w:i w:val="0"/>
        </w:rPr>
        <w:t>The data contain 292 distinct Customer IDs. Important limitation: 192 of these IDs appear with more than one gender and 217 appear in more than one region, so the ID is not a fully reliable customer identity. Customer-level results below are therefore indicative, not exact.</w:t>
      </w:r>
    </w:p>
    <w:p>
      <w:pPr>
        <w:keepNext/>
        <w:jc w:val="center"/>
      </w:pPr>
      <w:r>
        <w:drawing>
          <wp:inline xmlns:a="http://schemas.openxmlformats.org/drawingml/2006/main" xmlns:pic="http://schemas.openxmlformats.org/drawingml/2006/picture">
            <wp:extent cx="5669280" cy="2409444"/>
            <wp:docPr id="4" name="Picture 4"/>
            <wp:cNvGraphicFramePr>
              <a:graphicFrameLocks noChangeAspect="1"/>
            </wp:cNvGraphicFramePr>
            <a:graphic>
              <a:graphicData uri="http://schemas.openxmlformats.org/drawingml/2006/picture">
                <pic:pic>
                  <pic:nvPicPr>
                    <pic:cNvPr id="0" name="fig08_customers.png"/>
                    <pic:cNvPicPr/>
                  </pic:nvPicPr>
                  <pic:blipFill>
                    <a:blip r:embed="rId14"/>
                    <a:stretch>
                      <a:fillRect/>
                    </a:stretch>
                  </pic:blipFill>
                  <pic:spPr>
                    <a:xfrm>
                      <a:off x="0" y="0"/>
                      <a:ext cx="5669280" cy="2409444"/>
                    </a:xfrm>
                    <a:prstGeom prst="rect"/>
                  </pic:spPr>
                </pic:pic>
              </a:graphicData>
            </a:graphic>
          </wp:inline>
        </w:drawing>
      </w:r>
    </w:p>
    <w:p>
      <w:pPr>
        <w:jc w:val="center"/>
      </w:pPr>
      <w:r>
        <w:rPr>
          <w:b/>
          <w:i/>
          <w:sz w:val="20"/>
        </w:rPr>
        <w:t>Figure 4: Purchase frequency and customer revenue concentration</w:t>
      </w:r>
    </w:p>
    <w:p>
      <w:r>
        <w:rPr>
          <w:b w:val="0"/>
          <w:i w:val="0"/>
        </w:rPr>
        <w:t>86.0% of customer IDs have more than one order, and the average is 3.42 orders per ID. The top 20% of customer IDs generate 48.7% of revenue, which shows moderate concentration (a perfectly even spread would give 20%).</w:t>
      </w:r>
    </w:p>
    <w:p>
      <w:pPr>
        <w:keepNext/>
      </w:pPr>
      <w:r>
        <w:rPr>
          <w:b/>
          <w:i w:val="0"/>
          <w:sz w:val="20"/>
        </w:rPr>
        <w:t>Table 10: Customer segmentation by purchase frequency</w:t>
      </w:r>
    </w:p>
    <w:tbl>
      <w:tblPr>
        <w:tblStyle w:val="TableGrid"/>
        <w:tblW w:type="auto" w:w="0"/>
        <w:jc w:val="center"/>
        <w:tblLayout w:type="fixed"/>
        <w:tblLook w:firstColumn="1" w:firstRow="1" w:lastColumn="0" w:lastRow="0" w:noHBand="0" w:noVBand="1" w:val="04A0"/>
      </w:tblPr>
      <w:tblGrid>
        <w:gridCol w:w="2880"/>
        <w:gridCol w:w="1728"/>
        <w:gridCol w:w="2016"/>
        <w:gridCol w:w="2016"/>
      </w:tblGrid>
      <w:tr>
        <w:trPr>
          <w:tblHeader w:val="true"/>
        </w:trPr>
        <w:tc>
          <w:tcPr>
            <w:tcW w:type="dxa" w:w="2880"/>
            <w:shd w:val="clear" w:color="auto" w:fill="1F3864"/>
          </w:tcPr>
          <w:p>
            <w:r/>
            <w:r>
              <w:rPr>
                <w:b/>
                <w:color w:val="FFFFFF"/>
                <w:sz w:val="18"/>
              </w:rPr>
              <w:t>Frequency band</w:t>
            </w:r>
          </w:p>
        </w:tc>
        <w:tc>
          <w:tcPr>
            <w:tcW w:type="dxa" w:w="1728"/>
            <w:shd w:val="clear" w:color="auto" w:fill="1F3864"/>
          </w:tcPr>
          <w:p>
            <w:r/>
            <w:r>
              <w:rPr>
                <w:b/>
                <w:color w:val="FFFFFF"/>
                <w:sz w:val="18"/>
              </w:rPr>
              <w:t>Customers</w:t>
            </w:r>
          </w:p>
        </w:tc>
        <w:tc>
          <w:tcPr>
            <w:tcW w:type="dxa" w:w="2016"/>
            <w:shd w:val="clear" w:color="auto" w:fill="1F3864"/>
          </w:tcPr>
          <w:p>
            <w:r/>
            <w:r>
              <w:rPr>
                <w:b/>
                <w:color w:val="FFFFFF"/>
                <w:sz w:val="18"/>
              </w:rPr>
              <w:t>Revenue</w:t>
            </w:r>
          </w:p>
        </w:tc>
        <w:tc>
          <w:tcPr>
            <w:tcW w:type="dxa" w:w="2016"/>
            <w:shd w:val="clear" w:color="auto" w:fill="1F3864"/>
          </w:tcPr>
          <w:p>
            <w:r/>
            <w:r>
              <w:rPr>
                <w:b/>
                <w:color w:val="FFFFFF"/>
                <w:sz w:val="18"/>
              </w:rPr>
              <w:t>Revenue share</w:t>
            </w:r>
          </w:p>
        </w:tc>
      </w:tr>
      <w:tr>
        <w:tc>
          <w:tcPr>
            <w:tcW w:type="dxa" w:w="2880"/>
          </w:tcPr>
          <w:p>
            <w:r/>
            <w:r>
              <w:rPr>
                <w:sz w:val="18"/>
              </w:rPr>
              <w:t>One-time</w:t>
            </w:r>
          </w:p>
        </w:tc>
        <w:tc>
          <w:tcPr>
            <w:tcW w:type="dxa" w:w="1728"/>
          </w:tcPr>
          <w:p>
            <w:pPr>
              <w:jc w:val="right"/>
            </w:pPr>
            <w:r/>
            <w:r>
              <w:rPr>
                <w:sz w:val="18"/>
              </w:rPr>
              <w:t>41</w:t>
            </w:r>
          </w:p>
        </w:tc>
        <w:tc>
          <w:tcPr>
            <w:tcW w:type="dxa" w:w="2016"/>
          </w:tcPr>
          <w:p>
            <w:pPr>
              <w:jc w:val="right"/>
            </w:pPr>
            <w:r/>
            <w:r>
              <w:rPr>
                <w:sz w:val="18"/>
              </w:rPr>
              <w:t>46,360</w:t>
            </w:r>
          </w:p>
        </w:tc>
        <w:tc>
          <w:tcPr>
            <w:tcW w:type="dxa" w:w="2016"/>
          </w:tcPr>
          <w:p>
            <w:pPr>
              <w:jc w:val="right"/>
            </w:pPr>
            <w:r/>
            <w:r>
              <w:rPr>
                <w:sz w:val="18"/>
              </w:rPr>
              <w:t>3.4%</w:t>
            </w:r>
          </w:p>
        </w:tc>
      </w:tr>
      <w:tr>
        <w:tc>
          <w:tcPr>
            <w:tcW w:type="dxa" w:w="2880"/>
          </w:tcPr>
          <w:p>
            <w:r/>
            <w:r>
              <w:rPr>
                <w:sz w:val="18"/>
              </w:rPr>
              <w:t>Occasional (2-3)</w:t>
            </w:r>
          </w:p>
        </w:tc>
        <w:tc>
          <w:tcPr>
            <w:tcW w:type="dxa" w:w="1728"/>
          </w:tcPr>
          <w:p>
            <w:pPr>
              <w:jc w:val="right"/>
            </w:pPr>
            <w:r/>
            <w:r>
              <w:rPr>
                <w:sz w:val="18"/>
              </w:rPr>
              <w:t>121</w:t>
            </w:r>
          </w:p>
        </w:tc>
        <w:tc>
          <w:tcPr>
            <w:tcW w:type="dxa" w:w="2016"/>
          </w:tcPr>
          <w:p>
            <w:pPr>
              <w:jc w:val="right"/>
            </w:pPr>
            <w:r/>
            <w:r>
              <w:rPr>
                <w:sz w:val="18"/>
              </w:rPr>
              <w:t>377,070</w:t>
            </w:r>
          </w:p>
        </w:tc>
        <w:tc>
          <w:tcPr>
            <w:tcW w:type="dxa" w:w="2016"/>
          </w:tcPr>
          <w:p>
            <w:pPr>
              <w:jc w:val="right"/>
            </w:pPr>
            <w:r/>
            <w:r>
              <w:rPr>
                <w:sz w:val="18"/>
              </w:rPr>
              <w:t>28.0%</w:t>
            </w:r>
          </w:p>
        </w:tc>
      </w:tr>
      <w:tr>
        <w:tc>
          <w:tcPr>
            <w:tcW w:type="dxa" w:w="2880"/>
          </w:tcPr>
          <w:p>
            <w:r/>
            <w:r>
              <w:rPr>
                <w:sz w:val="18"/>
              </w:rPr>
              <w:t>Regular (4-5)</w:t>
            </w:r>
          </w:p>
        </w:tc>
        <w:tc>
          <w:tcPr>
            <w:tcW w:type="dxa" w:w="1728"/>
          </w:tcPr>
          <w:p>
            <w:pPr>
              <w:jc w:val="right"/>
            </w:pPr>
            <w:r/>
            <w:r>
              <w:rPr>
                <w:sz w:val="18"/>
              </w:rPr>
              <w:t>95</w:t>
            </w:r>
          </w:p>
        </w:tc>
        <w:tc>
          <w:tcPr>
            <w:tcW w:type="dxa" w:w="2016"/>
          </w:tcPr>
          <w:p>
            <w:pPr>
              <w:jc w:val="right"/>
            </w:pPr>
            <w:r/>
            <w:r>
              <w:rPr>
                <w:sz w:val="18"/>
              </w:rPr>
              <w:t>584,290</w:t>
            </w:r>
          </w:p>
        </w:tc>
        <w:tc>
          <w:tcPr>
            <w:tcW w:type="dxa" w:w="2016"/>
          </w:tcPr>
          <w:p>
            <w:pPr>
              <w:jc w:val="right"/>
            </w:pPr>
            <w:r/>
            <w:r>
              <w:rPr>
                <w:sz w:val="18"/>
              </w:rPr>
              <w:t>43.4%</w:t>
            </w:r>
          </w:p>
        </w:tc>
      </w:tr>
      <w:tr>
        <w:tc>
          <w:tcPr>
            <w:tcW w:type="dxa" w:w="2880"/>
          </w:tcPr>
          <w:p>
            <w:r/>
            <w:r>
              <w:rPr>
                <w:sz w:val="18"/>
              </w:rPr>
              <w:t>Frequent (6+)</w:t>
            </w:r>
          </w:p>
        </w:tc>
        <w:tc>
          <w:tcPr>
            <w:tcW w:type="dxa" w:w="1728"/>
          </w:tcPr>
          <w:p>
            <w:pPr>
              <w:jc w:val="right"/>
            </w:pPr>
            <w:r/>
            <w:r>
              <w:rPr>
                <w:sz w:val="18"/>
              </w:rPr>
              <w:t>35</w:t>
            </w:r>
          </w:p>
        </w:tc>
        <w:tc>
          <w:tcPr>
            <w:tcW w:type="dxa" w:w="2016"/>
          </w:tcPr>
          <w:p>
            <w:pPr>
              <w:jc w:val="right"/>
            </w:pPr>
            <w:r/>
            <w:r>
              <w:rPr>
                <w:sz w:val="18"/>
              </w:rPr>
              <w:t>338,880</w:t>
            </w:r>
          </w:p>
        </w:tc>
        <w:tc>
          <w:tcPr>
            <w:tcW w:type="dxa" w:w="2016"/>
          </w:tcPr>
          <w:p>
            <w:pPr>
              <w:jc w:val="right"/>
            </w:pPr>
            <w:r/>
            <w:r>
              <w:rPr>
                <w:sz w:val="18"/>
              </w:rPr>
              <w:t>25.2%</w:t>
            </w:r>
          </w:p>
        </w:tc>
      </w:tr>
    </w:tbl>
    <w:p>
      <w:pPr>
        <w:spacing w:after="40"/>
      </w:pPr>
    </w:p>
    <w:p>
      <w:pPr>
        <w:keepNext/>
      </w:pPr>
      <w:r>
        <w:rPr>
          <w:b/>
          <w:i w:val="0"/>
          <w:sz w:val="20"/>
        </w:rPr>
        <w:t>Table 11: Customer segmentation by value tier (top 25% = High, bottom 25% = Low revenue)</w:t>
      </w:r>
    </w:p>
    <w:tbl>
      <w:tblPr>
        <w:tblStyle w:val="TableGrid"/>
        <w:tblW w:type="auto" w:w="0"/>
        <w:jc w:val="center"/>
        <w:tblLayout w:type="fixed"/>
        <w:tblLook w:firstColumn="1" w:firstRow="1" w:lastColumn="0" w:lastRow="0" w:noHBand="0" w:noVBand="1" w:val="04A0"/>
      </w:tblPr>
      <w:tblGrid>
        <w:gridCol w:w="2880"/>
        <w:gridCol w:w="1728"/>
        <w:gridCol w:w="2016"/>
        <w:gridCol w:w="2016"/>
      </w:tblGrid>
      <w:tr>
        <w:trPr>
          <w:tblHeader w:val="true"/>
        </w:trPr>
        <w:tc>
          <w:tcPr>
            <w:tcW w:type="dxa" w:w="2880"/>
            <w:shd w:val="clear" w:color="auto" w:fill="1F3864"/>
          </w:tcPr>
          <w:p>
            <w:r/>
            <w:r>
              <w:rPr>
                <w:b/>
                <w:color w:val="FFFFFF"/>
                <w:sz w:val="18"/>
              </w:rPr>
              <w:t>Value tier</w:t>
            </w:r>
          </w:p>
        </w:tc>
        <w:tc>
          <w:tcPr>
            <w:tcW w:type="dxa" w:w="1728"/>
            <w:shd w:val="clear" w:color="auto" w:fill="1F3864"/>
          </w:tcPr>
          <w:p>
            <w:r/>
            <w:r>
              <w:rPr>
                <w:b/>
                <w:color w:val="FFFFFF"/>
                <w:sz w:val="18"/>
              </w:rPr>
              <w:t>Customers</w:t>
            </w:r>
          </w:p>
        </w:tc>
        <w:tc>
          <w:tcPr>
            <w:tcW w:type="dxa" w:w="2016"/>
            <w:shd w:val="clear" w:color="auto" w:fill="1F3864"/>
          </w:tcPr>
          <w:p>
            <w:r/>
            <w:r>
              <w:rPr>
                <w:b/>
                <w:color w:val="FFFFFF"/>
                <w:sz w:val="18"/>
              </w:rPr>
              <w:t>Revenue</w:t>
            </w:r>
          </w:p>
        </w:tc>
        <w:tc>
          <w:tcPr>
            <w:tcW w:type="dxa" w:w="2016"/>
            <w:shd w:val="clear" w:color="auto" w:fill="1F3864"/>
          </w:tcPr>
          <w:p>
            <w:r/>
            <w:r>
              <w:rPr>
                <w:b/>
                <w:color w:val="FFFFFF"/>
                <w:sz w:val="18"/>
              </w:rPr>
              <w:t>Avg orders</w:t>
            </w:r>
          </w:p>
        </w:tc>
      </w:tr>
      <w:tr>
        <w:tc>
          <w:tcPr>
            <w:tcW w:type="dxa" w:w="2880"/>
          </w:tcPr>
          <w:p>
            <w:r/>
            <w:r>
              <w:rPr>
                <w:sz w:val="18"/>
              </w:rPr>
              <w:t>High value</w:t>
            </w:r>
          </w:p>
        </w:tc>
        <w:tc>
          <w:tcPr>
            <w:tcW w:type="dxa" w:w="1728"/>
          </w:tcPr>
          <w:p>
            <w:pPr>
              <w:jc w:val="right"/>
            </w:pPr>
            <w:r/>
            <w:r>
              <w:rPr>
                <w:sz w:val="18"/>
              </w:rPr>
              <w:t>73</w:t>
            </w:r>
          </w:p>
        </w:tc>
        <w:tc>
          <w:tcPr>
            <w:tcW w:type="dxa" w:w="2016"/>
          </w:tcPr>
          <w:p>
            <w:pPr>
              <w:jc w:val="right"/>
            </w:pPr>
            <w:r/>
            <w:r>
              <w:rPr>
                <w:sz w:val="18"/>
              </w:rPr>
              <w:t>755,690</w:t>
            </w:r>
          </w:p>
        </w:tc>
        <w:tc>
          <w:tcPr>
            <w:tcW w:type="dxa" w:w="2016"/>
          </w:tcPr>
          <w:p>
            <w:pPr>
              <w:jc w:val="right"/>
            </w:pPr>
            <w:r/>
            <w:r>
              <w:rPr>
                <w:sz w:val="18"/>
              </w:rPr>
              <w:t>4.64</w:t>
            </w:r>
          </w:p>
        </w:tc>
      </w:tr>
      <w:tr>
        <w:tc>
          <w:tcPr>
            <w:tcW w:type="dxa" w:w="2880"/>
          </w:tcPr>
          <w:p>
            <w:r/>
            <w:r>
              <w:rPr>
                <w:sz w:val="18"/>
              </w:rPr>
              <w:t>Low value</w:t>
            </w:r>
          </w:p>
        </w:tc>
        <w:tc>
          <w:tcPr>
            <w:tcW w:type="dxa" w:w="1728"/>
          </w:tcPr>
          <w:p>
            <w:pPr>
              <w:jc w:val="right"/>
            </w:pPr>
            <w:r/>
            <w:r>
              <w:rPr>
                <w:sz w:val="18"/>
              </w:rPr>
              <w:t>73</w:t>
            </w:r>
          </w:p>
        </w:tc>
        <w:tc>
          <w:tcPr>
            <w:tcW w:type="dxa" w:w="2016"/>
          </w:tcPr>
          <w:p>
            <w:pPr>
              <w:jc w:val="right"/>
            </w:pPr>
            <w:r/>
            <w:r>
              <w:rPr>
                <w:sz w:val="18"/>
              </w:rPr>
              <w:t>41,890</w:t>
            </w:r>
          </w:p>
        </w:tc>
        <w:tc>
          <w:tcPr>
            <w:tcW w:type="dxa" w:w="2016"/>
          </w:tcPr>
          <w:p>
            <w:pPr>
              <w:jc w:val="right"/>
            </w:pPr>
            <w:r/>
            <w:r>
              <w:rPr>
                <w:sz w:val="18"/>
              </w:rPr>
              <w:t>1.77</w:t>
            </w:r>
          </w:p>
        </w:tc>
      </w:tr>
      <w:tr>
        <w:tc>
          <w:tcPr>
            <w:tcW w:type="dxa" w:w="2880"/>
          </w:tcPr>
          <w:p>
            <w:r/>
            <w:r>
              <w:rPr>
                <w:sz w:val="18"/>
              </w:rPr>
              <w:t>Medium value</w:t>
            </w:r>
          </w:p>
        </w:tc>
        <w:tc>
          <w:tcPr>
            <w:tcW w:type="dxa" w:w="1728"/>
          </w:tcPr>
          <w:p>
            <w:pPr>
              <w:jc w:val="right"/>
            </w:pPr>
            <w:r/>
            <w:r>
              <w:rPr>
                <w:sz w:val="18"/>
              </w:rPr>
              <w:t>146</w:t>
            </w:r>
          </w:p>
        </w:tc>
        <w:tc>
          <w:tcPr>
            <w:tcW w:type="dxa" w:w="2016"/>
          </w:tcPr>
          <w:p>
            <w:pPr>
              <w:jc w:val="right"/>
            </w:pPr>
            <w:r/>
            <w:r>
              <w:rPr>
                <w:sz w:val="18"/>
              </w:rPr>
              <w:t>549,020</w:t>
            </w:r>
          </w:p>
        </w:tc>
        <w:tc>
          <w:tcPr>
            <w:tcW w:type="dxa" w:w="2016"/>
          </w:tcPr>
          <w:p>
            <w:pPr>
              <w:jc w:val="right"/>
            </w:pPr>
            <w:r/>
            <w:r>
              <w:rPr>
                <w:sz w:val="18"/>
              </w:rPr>
              <w:t>3.64</w:t>
            </w:r>
          </w:p>
        </w:tc>
      </w:tr>
    </w:tbl>
    <w:p>
      <w:pPr>
        <w:spacing w:after="40"/>
      </w:pPr>
    </w:p>
    <w:p>
      <w:pPr>
        <w:keepNext/>
        <w:jc w:val="center"/>
      </w:pPr>
      <w:r>
        <w:drawing>
          <wp:inline xmlns:a="http://schemas.openxmlformats.org/drawingml/2006/main" xmlns:pic="http://schemas.openxmlformats.org/drawingml/2006/picture">
            <wp:extent cx="5669280" cy="2409444"/>
            <wp:docPr id="5" name="Picture 5"/>
            <wp:cNvGraphicFramePr>
              <a:graphicFrameLocks noChangeAspect="1"/>
            </wp:cNvGraphicFramePr>
            <a:graphic>
              <a:graphicData uri="http://schemas.openxmlformats.org/drawingml/2006/picture">
                <pic:pic>
                  <pic:nvPicPr>
                    <pic:cNvPr id="0" name="fig07_age_gender.png"/>
                    <pic:cNvPicPr/>
                  </pic:nvPicPr>
                  <pic:blipFill>
                    <a:blip r:embed="rId15"/>
                    <a:stretch>
                      <a:fillRect/>
                    </a:stretch>
                  </pic:blipFill>
                  <pic:spPr>
                    <a:xfrm>
                      <a:off x="0" y="0"/>
                      <a:ext cx="5669280" cy="2409444"/>
                    </a:xfrm>
                    <a:prstGeom prst="rect"/>
                  </pic:spPr>
                </pic:pic>
              </a:graphicData>
            </a:graphic>
          </wp:inline>
        </w:drawing>
      </w:r>
    </w:p>
    <w:p>
      <w:pPr>
        <w:jc w:val="center"/>
      </w:pPr>
      <w:r>
        <w:rPr>
          <w:b/>
          <w:i/>
          <w:sz w:val="20"/>
        </w:rPr>
        <w:t>Figure 5: Revenue by age group and orders/revenue by gender</w:t>
      </w:r>
    </w:p>
    <w:p>
      <w:r>
        <w:rPr>
          <w:b w:val="0"/>
          <w:i w:val="0"/>
        </w:rPr>
        <w:t>The age group 46-55 contributes the most revenue (23.0%), and 18-25 the least (9.4%); differences partly reflect the number of customers in each age group, as ages from 18 to 69 are spread widely. Male customers place 524 orders and generate 53.1% of revenue versus 46.9% for Female; the order-value difference between genders is not statistically significant.</w:t>
      </w:r>
    </w:p>
    <w:p>
      <w:pPr>
        <w:pStyle w:val="Heading1"/>
      </w:pPr>
      <w:r>
        <w:t>15. Product Analysis</w:t>
      </w:r>
    </w:p>
    <w:p>
      <w:pPr>
        <w:keepNext/>
        <w:jc w:val="center"/>
      </w:pPr>
      <w:r>
        <w:drawing>
          <wp:inline xmlns:a="http://schemas.openxmlformats.org/drawingml/2006/main" xmlns:pic="http://schemas.openxmlformats.org/drawingml/2006/picture">
            <wp:extent cx="5852160" cy="2478562"/>
            <wp:docPr id="6" name="Picture 6"/>
            <wp:cNvGraphicFramePr>
              <a:graphicFrameLocks noChangeAspect="1"/>
            </wp:cNvGraphicFramePr>
            <a:graphic>
              <a:graphicData uri="http://schemas.openxmlformats.org/drawingml/2006/picture">
                <pic:pic>
                  <pic:nvPicPr>
                    <pic:cNvPr id="0" name="fig05_products.png"/>
                    <pic:cNvPicPr/>
                  </pic:nvPicPr>
                  <pic:blipFill>
                    <a:blip r:embed="rId16"/>
                    <a:stretch>
                      <a:fillRect/>
                    </a:stretch>
                  </pic:blipFill>
                  <pic:spPr>
                    <a:xfrm>
                      <a:off x="0" y="0"/>
                      <a:ext cx="5852160" cy="2478562"/>
                    </a:xfrm>
                    <a:prstGeom prst="rect"/>
                  </pic:spPr>
                </pic:pic>
              </a:graphicData>
            </a:graphic>
          </wp:inline>
        </w:drawing>
      </w:r>
    </w:p>
    <w:p>
      <w:pPr>
        <w:jc w:val="center"/>
      </w:pPr>
      <w:r>
        <w:rPr>
          <w:b/>
          <w:i/>
          <w:sz w:val="20"/>
        </w:rPr>
        <w:t>Figure 6: Revenue and units sold by product</w:t>
      </w:r>
    </w:p>
    <w:p>
      <w:r>
        <w:rPr>
          <w:b w:val="0"/>
          <w:i w:val="0"/>
        </w:rPr>
        <w:t>Laptop generates 51.7% of total revenue, far more than any other product. The best-selling product by units is Monitor (503 units), which shows that the top product by revenue is not the top by volume: price level matters more than unit count.</w:t>
      </w:r>
    </w:p>
    <w:p>
      <w:pPr>
        <w:keepNext/>
      </w:pPr>
      <w:r>
        <w:rPr>
          <w:b/>
          <w:i w:val="0"/>
          <w:sz w:val="20"/>
        </w:rPr>
        <w:t>Table 12: Product performance comparison</w:t>
      </w:r>
    </w:p>
    <w:tbl>
      <w:tblPr>
        <w:tblStyle w:val="TableGrid"/>
        <w:tblW w:type="auto" w:w="0"/>
        <w:jc w:val="center"/>
        <w:tblLayout w:type="fixed"/>
        <w:tblLook w:firstColumn="1" w:firstRow="1" w:lastColumn="0" w:lastRow="0" w:noHBand="0" w:noVBand="1" w:val="04A0"/>
      </w:tblPr>
      <w:tblGrid>
        <w:gridCol w:w="1368"/>
        <w:gridCol w:w="1296"/>
        <w:gridCol w:w="792"/>
        <w:gridCol w:w="792"/>
        <w:gridCol w:w="1080"/>
        <w:gridCol w:w="792"/>
        <w:gridCol w:w="1008"/>
        <w:gridCol w:w="792"/>
        <w:gridCol w:w="864"/>
      </w:tblGrid>
      <w:tr>
        <w:trPr>
          <w:tblHeader w:val="true"/>
        </w:trPr>
        <w:tc>
          <w:tcPr>
            <w:tcW w:type="dxa" w:w="1368"/>
            <w:shd w:val="clear" w:color="auto" w:fill="1F3864"/>
          </w:tcPr>
          <w:p>
            <w:r/>
            <w:r>
              <w:rPr>
                <w:b/>
                <w:color w:val="FFFFFF"/>
                <w:sz w:val="16"/>
              </w:rPr>
              <w:t>Product</w:t>
            </w:r>
          </w:p>
        </w:tc>
        <w:tc>
          <w:tcPr>
            <w:tcW w:type="dxa" w:w="1296"/>
            <w:shd w:val="clear" w:color="auto" w:fill="1F3864"/>
          </w:tcPr>
          <w:p>
            <w:r/>
            <w:r>
              <w:rPr>
                <w:b/>
                <w:color w:val="FFFFFF"/>
                <w:sz w:val="16"/>
              </w:rPr>
              <w:t>Category</w:t>
            </w:r>
          </w:p>
        </w:tc>
        <w:tc>
          <w:tcPr>
            <w:tcW w:type="dxa" w:w="792"/>
            <w:shd w:val="clear" w:color="auto" w:fill="1F3864"/>
          </w:tcPr>
          <w:p>
            <w:r/>
            <w:r>
              <w:rPr>
                <w:b/>
                <w:color w:val="FFFFFF"/>
                <w:sz w:val="16"/>
              </w:rPr>
              <w:t>Orders</w:t>
            </w:r>
          </w:p>
        </w:tc>
        <w:tc>
          <w:tcPr>
            <w:tcW w:type="dxa" w:w="792"/>
            <w:shd w:val="clear" w:color="auto" w:fill="1F3864"/>
          </w:tcPr>
          <w:p>
            <w:r/>
            <w:r>
              <w:rPr>
                <w:b/>
                <w:color w:val="FFFFFF"/>
                <w:sz w:val="16"/>
              </w:rPr>
              <w:t>Units</w:t>
            </w:r>
          </w:p>
        </w:tc>
        <w:tc>
          <w:tcPr>
            <w:tcW w:type="dxa" w:w="1080"/>
            <w:shd w:val="clear" w:color="auto" w:fill="1F3864"/>
          </w:tcPr>
          <w:p>
            <w:r/>
            <w:r>
              <w:rPr>
                <w:b/>
                <w:color w:val="FFFFFF"/>
                <w:sz w:val="16"/>
              </w:rPr>
              <w:t>Revenue</w:t>
            </w:r>
          </w:p>
        </w:tc>
        <w:tc>
          <w:tcPr>
            <w:tcW w:type="dxa" w:w="792"/>
            <w:shd w:val="clear" w:color="auto" w:fill="1F3864"/>
          </w:tcPr>
          <w:p>
            <w:r/>
            <w:r>
              <w:rPr>
                <w:b/>
                <w:color w:val="FFFFFF"/>
                <w:sz w:val="16"/>
              </w:rPr>
              <w:t>Share</w:t>
            </w:r>
          </w:p>
        </w:tc>
        <w:tc>
          <w:tcPr>
            <w:tcW w:type="dxa" w:w="1008"/>
            <w:shd w:val="clear" w:color="auto" w:fill="1F3864"/>
          </w:tcPr>
          <w:p>
            <w:r/>
            <w:r>
              <w:rPr>
                <w:b/>
                <w:color w:val="FFFFFF"/>
                <w:sz w:val="16"/>
              </w:rPr>
              <w:t>Avg price</w:t>
            </w:r>
          </w:p>
        </w:tc>
        <w:tc>
          <w:tcPr>
            <w:tcW w:type="dxa" w:w="792"/>
            <w:shd w:val="clear" w:color="auto" w:fill="1F3864"/>
          </w:tcPr>
          <w:p>
            <w:r/>
            <w:r>
              <w:rPr>
                <w:b/>
                <w:color w:val="FFFFFF"/>
                <w:sz w:val="16"/>
              </w:rPr>
              <w:t>AOV</w:t>
            </w:r>
          </w:p>
        </w:tc>
        <w:tc>
          <w:tcPr>
            <w:tcW w:type="dxa" w:w="864"/>
            <w:shd w:val="clear" w:color="auto" w:fill="1F3864"/>
          </w:tcPr>
          <w:p>
            <w:r/>
            <w:r>
              <w:rPr>
                <w:b/>
                <w:color w:val="FFFFFF"/>
                <w:sz w:val="16"/>
              </w:rPr>
              <w:t>Return rate</w:t>
            </w:r>
          </w:p>
        </w:tc>
      </w:tr>
      <w:tr>
        <w:tc>
          <w:tcPr>
            <w:tcW w:type="dxa" w:w="1368"/>
          </w:tcPr>
          <w:p>
            <w:r/>
            <w:r>
              <w:rPr>
                <w:sz w:val="16"/>
              </w:rPr>
              <w:t>Laptop</w:t>
            </w:r>
          </w:p>
        </w:tc>
        <w:tc>
          <w:tcPr>
            <w:tcW w:type="dxa" w:w="1296"/>
          </w:tcPr>
          <w:p>
            <w:r/>
            <w:r>
              <w:rPr>
                <w:sz w:val="16"/>
              </w:rPr>
              <w:t>Electronics</w:t>
            </w:r>
          </w:p>
        </w:tc>
        <w:tc>
          <w:tcPr>
            <w:tcW w:type="dxa" w:w="792"/>
          </w:tcPr>
          <w:p>
            <w:pPr>
              <w:jc w:val="right"/>
            </w:pPr>
            <w:r/>
            <w:r>
              <w:rPr>
                <w:sz w:val="16"/>
              </w:rPr>
              <w:t>154</w:t>
            </w:r>
          </w:p>
        </w:tc>
        <w:tc>
          <w:tcPr>
            <w:tcW w:type="dxa" w:w="792"/>
          </w:tcPr>
          <w:p>
            <w:pPr>
              <w:jc w:val="right"/>
            </w:pPr>
            <w:r/>
            <w:r>
              <w:rPr>
                <w:sz w:val="16"/>
              </w:rPr>
              <w:t>464</w:t>
            </w:r>
          </w:p>
        </w:tc>
        <w:tc>
          <w:tcPr>
            <w:tcW w:type="dxa" w:w="1080"/>
          </w:tcPr>
          <w:p>
            <w:pPr>
              <w:jc w:val="right"/>
            </w:pPr>
            <w:r/>
            <w:r>
              <w:rPr>
                <w:sz w:val="16"/>
              </w:rPr>
              <w:t>696,000</w:t>
            </w:r>
          </w:p>
        </w:tc>
        <w:tc>
          <w:tcPr>
            <w:tcW w:type="dxa" w:w="792"/>
          </w:tcPr>
          <w:p>
            <w:pPr>
              <w:jc w:val="right"/>
            </w:pPr>
            <w:r/>
            <w:r>
              <w:rPr>
                <w:sz w:val="16"/>
              </w:rPr>
              <w:t>51.7%</w:t>
            </w:r>
          </w:p>
        </w:tc>
        <w:tc>
          <w:tcPr>
            <w:tcW w:type="dxa" w:w="1008"/>
          </w:tcPr>
          <w:p>
            <w:pPr>
              <w:jc w:val="right"/>
            </w:pPr>
            <w:r/>
            <w:r>
              <w:rPr>
                <w:sz w:val="16"/>
              </w:rPr>
              <w:t>1,500</w:t>
            </w:r>
          </w:p>
        </w:tc>
        <w:tc>
          <w:tcPr>
            <w:tcW w:type="dxa" w:w="792"/>
          </w:tcPr>
          <w:p>
            <w:pPr>
              <w:jc w:val="right"/>
            </w:pPr>
            <w:r/>
            <w:r>
              <w:rPr>
                <w:sz w:val="16"/>
              </w:rPr>
              <w:t>4,519</w:t>
            </w:r>
          </w:p>
        </w:tc>
        <w:tc>
          <w:tcPr>
            <w:tcW w:type="dxa" w:w="864"/>
          </w:tcPr>
          <w:p>
            <w:pPr>
              <w:jc w:val="right"/>
            </w:pPr>
            <w:r/>
            <w:r>
              <w:rPr>
                <w:sz w:val="16"/>
              </w:rPr>
              <w:t>34.0%</w:t>
            </w:r>
          </w:p>
        </w:tc>
      </w:tr>
      <w:tr>
        <w:tc>
          <w:tcPr>
            <w:tcW w:type="dxa" w:w="1368"/>
          </w:tcPr>
          <w:p>
            <w:r/>
            <w:r>
              <w:rPr>
                <w:sz w:val="16"/>
              </w:rPr>
              <w:t>Smartphone</w:t>
            </w:r>
          </w:p>
        </w:tc>
        <w:tc>
          <w:tcPr>
            <w:tcW w:type="dxa" w:w="1296"/>
          </w:tcPr>
          <w:p>
            <w:r/>
            <w:r>
              <w:rPr>
                <w:sz w:val="16"/>
              </w:rPr>
              <w:t>Electronics</w:t>
            </w:r>
          </w:p>
        </w:tc>
        <w:tc>
          <w:tcPr>
            <w:tcW w:type="dxa" w:w="792"/>
          </w:tcPr>
          <w:p>
            <w:pPr>
              <w:jc w:val="right"/>
            </w:pPr>
            <w:r/>
            <w:r>
              <w:rPr>
                <w:sz w:val="16"/>
              </w:rPr>
              <w:t>142</w:t>
            </w:r>
          </w:p>
        </w:tc>
        <w:tc>
          <w:tcPr>
            <w:tcW w:type="dxa" w:w="792"/>
          </w:tcPr>
          <w:p>
            <w:pPr>
              <w:jc w:val="right"/>
            </w:pPr>
            <w:r/>
            <w:r>
              <w:rPr>
                <w:sz w:val="16"/>
              </w:rPr>
              <w:t>442</w:t>
            </w:r>
          </w:p>
        </w:tc>
        <w:tc>
          <w:tcPr>
            <w:tcW w:type="dxa" w:w="1080"/>
          </w:tcPr>
          <w:p>
            <w:pPr>
              <w:jc w:val="right"/>
            </w:pPr>
            <w:r/>
            <w:r>
              <w:rPr>
                <w:sz w:val="16"/>
              </w:rPr>
              <w:t>353,600</w:t>
            </w:r>
          </w:p>
        </w:tc>
        <w:tc>
          <w:tcPr>
            <w:tcW w:type="dxa" w:w="792"/>
          </w:tcPr>
          <w:p>
            <w:pPr>
              <w:jc w:val="right"/>
            </w:pPr>
            <w:r/>
            <w:r>
              <w:rPr>
                <w:sz w:val="16"/>
              </w:rPr>
              <w:t>26.3%</w:t>
            </w:r>
          </w:p>
        </w:tc>
        <w:tc>
          <w:tcPr>
            <w:tcW w:type="dxa" w:w="1008"/>
          </w:tcPr>
          <w:p>
            <w:pPr>
              <w:jc w:val="right"/>
            </w:pPr>
            <w:r/>
            <w:r>
              <w:rPr>
                <w:sz w:val="16"/>
              </w:rPr>
              <w:t>800</w:t>
            </w:r>
          </w:p>
        </w:tc>
        <w:tc>
          <w:tcPr>
            <w:tcW w:type="dxa" w:w="792"/>
          </w:tcPr>
          <w:p>
            <w:pPr>
              <w:jc w:val="right"/>
            </w:pPr>
            <w:r/>
            <w:r>
              <w:rPr>
                <w:sz w:val="16"/>
              </w:rPr>
              <w:t>2,490</w:t>
            </w:r>
          </w:p>
        </w:tc>
        <w:tc>
          <w:tcPr>
            <w:tcW w:type="dxa" w:w="864"/>
          </w:tcPr>
          <w:p>
            <w:pPr>
              <w:jc w:val="right"/>
            </w:pPr>
            <w:r/>
            <w:r>
              <w:rPr>
                <w:sz w:val="16"/>
              </w:rPr>
              <w:t>31.6%</w:t>
            </w:r>
          </w:p>
        </w:tc>
      </w:tr>
      <w:tr>
        <w:tc>
          <w:tcPr>
            <w:tcW w:type="dxa" w:w="1368"/>
          </w:tcPr>
          <w:p>
            <w:r/>
            <w:r>
              <w:rPr>
                <w:sz w:val="16"/>
              </w:rPr>
              <w:t>Monitor</w:t>
            </w:r>
          </w:p>
        </w:tc>
        <w:tc>
          <w:tcPr>
            <w:tcW w:type="dxa" w:w="1296"/>
          </w:tcPr>
          <w:p>
            <w:r/>
            <w:r>
              <w:rPr>
                <w:sz w:val="16"/>
              </w:rPr>
              <w:t>Electronics</w:t>
            </w:r>
          </w:p>
        </w:tc>
        <w:tc>
          <w:tcPr>
            <w:tcW w:type="dxa" w:w="792"/>
          </w:tcPr>
          <w:p>
            <w:pPr>
              <w:jc w:val="right"/>
            </w:pPr>
            <w:r/>
            <w:r>
              <w:rPr>
                <w:sz w:val="16"/>
              </w:rPr>
              <w:t>181</w:t>
            </w:r>
          </w:p>
        </w:tc>
        <w:tc>
          <w:tcPr>
            <w:tcW w:type="dxa" w:w="792"/>
          </w:tcPr>
          <w:p>
            <w:pPr>
              <w:jc w:val="right"/>
            </w:pPr>
            <w:r/>
            <w:r>
              <w:rPr>
                <w:sz w:val="16"/>
              </w:rPr>
              <w:t>503</w:t>
            </w:r>
          </w:p>
        </w:tc>
        <w:tc>
          <w:tcPr>
            <w:tcW w:type="dxa" w:w="1080"/>
          </w:tcPr>
          <w:p>
            <w:pPr>
              <w:jc w:val="right"/>
            </w:pPr>
            <w:r/>
            <w:r>
              <w:rPr>
                <w:sz w:val="16"/>
              </w:rPr>
              <w:t>150,900</w:t>
            </w:r>
          </w:p>
        </w:tc>
        <w:tc>
          <w:tcPr>
            <w:tcW w:type="dxa" w:w="792"/>
          </w:tcPr>
          <w:p>
            <w:pPr>
              <w:jc w:val="right"/>
            </w:pPr>
            <w:r/>
            <w:r>
              <w:rPr>
                <w:sz w:val="16"/>
              </w:rPr>
              <w:t>11.2%</w:t>
            </w:r>
          </w:p>
        </w:tc>
        <w:tc>
          <w:tcPr>
            <w:tcW w:type="dxa" w:w="1008"/>
          </w:tcPr>
          <w:p>
            <w:pPr>
              <w:jc w:val="right"/>
            </w:pPr>
            <w:r/>
            <w:r>
              <w:rPr>
                <w:sz w:val="16"/>
              </w:rPr>
              <w:t>300</w:t>
            </w:r>
          </w:p>
        </w:tc>
        <w:tc>
          <w:tcPr>
            <w:tcW w:type="dxa" w:w="792"/>
          </w:tcPr>
          <w:p>
            <w:pPr>
              <w:jc w:val="right"/>
            </w:pPr>
            <w:r/>
            <w:r>
              <w:rPr>
                <w:sz w:val="16"/>
              </w:rPr>
              <w:t>834</w:t>
            </w:r>
          </w:p>
        </w:tc>
        <w:tc>
          <w:tcPr>
            <w:tcW w:type="dxa" w:w="864"/>
          </w:tcPr>
          <w:p>
            <w:pPr>
              <w:jc w:val="right"/>
            </w:pPr>
            <w:r/>
            <w:r>
              <w:rPr>
                <w:sz w:val="16"/>
              </w:rPr>
              <w:t>30.2%</w:t>
            </w:r>
          </w:p>
        </w:tc>
      </w:tr>
      <w:tr>
        <w:tc>
          <w:tcPr>
            <w:tcW w:type="dxa" w:w="1368"/>
          </w:tcPr>
          <w:p>
            <w:r/>
            <w:r>
              <w:rPr>
                <w:sz w:val="16"/>
              </w:rPr>
              <w:t>Smartwatch</w:t>
            </w:r>
          </w:p>
        </w:tc>
        <w:tc>
          <w:tcPr>
            <w:tcW w:type="dxa" w:w="1296"/>
          </w:tcPr>
          <w:p>
            <w:r/>
            <w:r>
              <w:rPr>
                <w:sz w:val="16"/>
              </w:rPr>
              <w:t>Wearables</w:t>
            </w:r>
          </w:p>
        </w:tc>
        <w:tc>
          <w:tcPr>
            <w:tcW w:type="dxa" w:w="792"/>
          </w:tcPr>
          <w:p>
            <w:pPr>
              <w:jc w:val="right"/>
            </w:pPr>
            <w:r/>
            <w:r>
              <w:rPr>
                <w:sz w:val="16"/>
              </w:rPr>
              <w:t>122</w:t>
            </w:r>
          </w:p>
        </w:tc>
        <w:tc>
          <w:tcPr>
            <w:tcW w:type="dxa" w:w="792"/>
          </w:tcPr>
          <w:p>
            <w:pPr>
              <w:jc w:val="right"/>
            </w:pPr>
            <w:r/>
            <w:r>
              <w:rPr>
                <w:sz w:val="16"/>
              </w:rPr>
              <w:t>371</w:t>
            </w:r>
          </w:p>
        </w:tc>
        <w:tc>
          <w:tcPr>
            <w:tcW w:type="dxa" w:w="1080"/>
          </w:tcPr>
          <w:p>
            <w:pPr>
              <w:jc w:val="right"/>
            </w:pPr>
            <w:r/>
            <w:r>
              <w:rPr>
                <w:sz w:val="16"/>
              </w:rPr>
              <w:t>74,200</w:t>
            </w:r>
          </w:p>
        </w:tc>
        <w:tc>
          <w:tcPr>
            <w:tcW w:type="dxa" w:w="792"/>
          </w:tcPr>
          <w:p>
            <w:pPr>
              <w:jc w:val="right"/>
            </w:pPr>
            <w:r/>
            <w:r>
              <w:rPr>
                <w:sz w:val="16"/>
              </w:rPr>
              <w:t>5.5%</w:t>
            </w:r>
          </w:p>
        </w:tc>
        <w:tc>
          <w:tcPr>
            <w:tcW w:type="dxa" w:w="1008"/>
          </w:tcPr>
          <w:p>
            <w:pPr>
              <w:jc w:val="right"/>
            </w:pPr>
            <w:r/>
            <w:r>
              <w:rPr>
                <w:sz w:val="16"/>
              </w:rPr>
              <w:t>200</w:t>
            </w:r>
          </w:p>
        </w:tc>
        <w:tc>
          <w:tcPr>
            <w:tcW w:type="dxa" w:w="792"/>
          </w:tcPr>
          <w:p>
            <w:pPr>
              <w:jc w:val="right"/>
            </w:pPr>
            <w:r/>
            <w:r>
              <w:rPr>
                <w:sz w:val="16"/>
              </w:rPr>
              <w:t>608</w:t>
            </w:r>
          </w:p>
        </w:tc>
        <w:tc>
          <w:tcPr>
            <w:tcW w:type="dxa" w:w="864"/>
          </w:tcPr>
          <w:p>
            <w:pPr>
              <w:jc w:val="right"/>
            </w:pPr>
            <w:r/>
            <w:r>
              <w:rPr>
                <w:sz w:val="16"/>
              </w:rPr>
              <w:t>32.5%</w:t>
            </w:r>
          </w:p>
        </w:tc>
      </w:tr>
      <w:tr>
        <w:tc>
          <w:tcPr>
            <w:tcW w:type="dxa" w:w="1368"/>
          </w:tcPr>
          <w:p>
            <w:r/>
            <w:r>
              <w:rPr>
                <w:sz w:val="16"/>
              </w:rPr>
              <w:t>Headphones</w:t>
            </w:r>
          </w:p>
        </w:tc>
        <w:tc>
          <w:tcPr>
            <w:tcW w:type="dxa" w:w="1296"/>
          </w:tcPr>
          <w:p>
            <w:r/>
            <w:r>
              <w:rPr>
                <w:sz w:val="16"/>
              </w:rPr>
              <w:t>Accessories</w:t>
            </w:r>
          </w:p>
        </w:tc>
        <w:tc>
          <w:tcPr>
            <w:tcW w:type="dxa" w:w="792"/>
          </w:tcPr>
          <w:p>
            <w:pPr>
              <w:jc w:val="right"/>
            </w:pPr>
            <w:r/>
            <w:r>
              <w:rPr>
                <w:sz w:val="16"/>
              </w:rPr>
              <w:t>120</w:t>
            </w:r>
          </w:p>
        </w:tc>
        <w:tc>
          <w:tcPr>
            <w:tcW w:type="dxa" w:w="792"/>
          </w:tcPr>
          <w:p>
            <w:pPr>
              <w:jc w:val="right"/>
            </w:pPr>
            <w:r/>
            <w:r>
              <w:rPr>
                <w:sz w:val="16"/>
              </w:rPr>
              <w:t>370</w:t>
            </w:r>
          </w:p>
        </w:tc>
        <w:tc>
          <w:tcPr>
            <w:tcW w:type="dxa" w:w="1080"/>
          </w:tcPr>
          <w:p>
            <w:pPr>
              <w:jc w:val="right"/>
            </w:pPr>
            <w:r/>
            <w:r>
              <w:rPr>
                <w:sz w:val="16"/>
              </w:rPr>
              <w:t>37,000</w:t>
            </w:r>
          </w:p>
        </w:tc>
        <w:tc>
          <w:tcPr>
            <w:tcW w:type="dxa" w:w="792"/>
          </w:tcPr>
          <w:p>
            <w:pPr>
              <w:jc w:val="right"/>
            </w:pPr>
            <w:r/>
            <w:r>
              <w:rPr>
                <w:sz w:val="16"/>
              </w:rPr>
              <w:t>2.7%</w:t>
            </w:r>
          </w:p>
        </w:tc>
        <w:tc>
          <w:tcPr>
            <w:tcW w:type="dxa" w:w="1008"/>
          </w:tcPr>
          <w:p>
            <w:pPr>
              <w:jc w:val="right"/>
            </w:pPr>
            <w:r/>
            <w:r>
              <w:rPr>
                <w:sz w:val="16"/>
              </w:rPr>
              <w:t>100</w:t>
            </w:r>
          </w:p>
        </w:tc>
        <w:tc>
          <w:tcPr>
            <w:tcW w:type="dxa" w:w="792"/>
          </w:tcPr>
          <w:p>
            <w:pPr>
              <w:jc w:val="right"/>
            </w:pPr>
            <w:r/>
            <w:r>
              <w:rPr>
                <w:sz w:val="16"/>
              </w:rPr>
              <w:t>308</w:t>
            </w:r>
          </w:p>
        </w:tc>
        <w:tc>
          <w:tcPr>
            <w:tcW w:type="dxa" w:w="864"/>
          </w:tcPr>
          <w:p>
            <w:pPr>
              <w:jc w:val="right"/>
            </w:pPr>
            <w:r/>
            <w:r>
              <w:rPr>
                <w:sz w:val="16"/>
              </w:rPr>
              <w:t>34.5%</w:t>
            </w:r>
          </w:p>
        </w:tc>
      </w:tr>
      <w:tr>
        <w:tc>
          <w:tcPr>
            <w:tcW w:type="dxa" w:w="1368"/>
          </w:tcPr>
          <w:p>
            <w:r/>
            <w:r>
              <w:rPr>
                <w:sz w:val="16"/>
              </w:rPr>
              <w:t>Keyboard</w:t>
            </w:r>
          </w:p>
        </w:tc>
        <w:tc>
          <w:tcPr>
            <w:tcW w:type="dxa" w:w="1296"/>
          </w:tcPr>
          <w:p>
            <w:r/>
            <w:r>
              <w:rPr>
                <w:sz w:val="16"/>
              </w:rPr>
              <w:t>Accessories</w:t>
            </w:r>
          </w:p>
        </w:tc>
        <w:tc>
          <w:tcPr>
            <w:tcW w:type="dxa" w:w="792"/>
          </w:tcPr>
          <w:p>
            <w:pPr>
              <w:jc w:val="right"/>
            </w:pPr>
            <w:r/>
            <w:r>
              <w:rPr>
                <w:sz w:val="16"/>
              </w:rPr>
              <w:t>145</w:t>
            </w:r>
          </w:p>
        </w:tc>
        <w:tc>
          <w:tcPr>
            <w:tcW w:type="dxa" w:w="792"/>
          </w:tcPr>
          <w:p>
            <w:pPr>
              <w:jc w:val="right"/>
            </w:pPr>
            <w:r/>
            <w:r>
              <w:rPr>
                <w:sz w:val="16"/>
              </w:rPr>
              <w:t>458</w:t>
            </w:r>
          </w:p>
        </w:tc>
        <w:tc>
          <w:tcPr>
            <w:tcW w:type="dxa" w:w="1080"/>
          </w:tcPr>
          <w:p>
            <w:pPr>
              <w:jc w:val="right"/>
            </w:pPr>
            <w:r/>
            <w:r>
              <w:rPr>
                <w:sz w:val="16"/>
              </w:rPr>
              <w:t>22,900</w:t>
            </w:r>
          </w:p>
        </w:tc>
        <w:tc>
          <w:tcPr>
            <w:tcW w:type="dxa" w:w="792"/>
          </w:tcPr>
          <w:p>
            <w:pPr>
              <w:jc w:val="right"/>
            </w:pPr>
            <w:r/>
            <w:r>
              <w:rPr>
                <w:sz w:val="16"/>
              </w:rPr>
              <w:t>1.7%</w:t>
            </w:r>
          </w:p>
        </w:tc>
        <w:tc>
          <w:tcPr>
            <w:tcW w:type="dxa" w:w="1008"/>
          </w:tcPr>
          <w:p>
            <w:pPr>
              <w:jc w:val="right"/>
            </w:pPr>
            <w:r/>
            <w:r>
              <w:rPr>
                <w:sz w:val="16"/>
              </w:rPr>
              <w:t>50</w:t>
            </w:r>
          </w:p>
        </w:tc>
        <w:tc>
          <w:tcPr>
            <w:tcW w:type="dxa" w:w="792"/>
          </w:tcPr>
          <w:p>
            <w:pPr>
              <w:jc w:val="right"/>
            </w:pPr>
            <w:r/>
            <w:r>
              <w:rPr>
                <w:sz w:val="16"/>
              </w:rPr>
              <w:t>158</w:t>
            </w:r>
          </w:p>
        </w:tc>
        <w:tc>
          <w:tcPr>
            <w:tcW w:type="dxa" w:w="864"/>
          </w:tcPr>
          <w:p>
            <w:pPr>
              <w:jc w:val="right"/>
            </w:pPr>
            <w:r/>
            <w:r>
              <w:rPr>
                <w:sz w:val="16"/>
              </w:rPr>
              <w:t>31.4%</w:t>
            </w:r>
          </w:p>
        </w:tc>
      </w:tr>
      <w:tr>
        <w:tc>
          <w:tcPr>
            <w:tcW w:type="dxa" w:w="1368"/>
          </w:tcPr>
          <w:p>
            <w:r/>
            <w:r>
              <w:rPr>
                <w:sz w:val="16"/>
              </w:rPr>
              <w:t>Mouse</w:t>
            </w:r>
          </w:p>
        </w:tc>
        <w:tc>
          <w:tcPr>
            <w:tcW w:type="dxa" w:w="1296"/>
          </w:tcPr>
          <w:p>
            <w:r/>
            <w:r>
              <w:rPr>
                <w:sz w:val="16"/>
              </w:rPr>
              <w:t>Accessories</w:t>
            </w:r>
          </w:p>
        </w:tc>
        <w:tc>
          <w:tcPr>
            <w:tcW w:type="dxa" w:w="792"/>
          </w:tcPr>
          <w:p>
            <w:pPr>
              <w:jc w:val="right"/>
            </w:pPr>
            <w:r/>
            <w:r>
              <w:rPr>
                <w:sz w:val="16"/>
              </w:rPr>
              <w:t>136</w:t>
            </w:r>
          </w:p>
        </w:tc>
        <w:tc>
          <w:tcPr>
            <w:tcW w:type="dxa" w:w="792"/>
          </w:tcPr>
          <w:p>
            <w:pPr>
              <w:jc w:val="right"/>
            </w:pPr>
            <w:r/>
            <w:r>
              <w:rPr>
                <w:sz w:val="16"/>
              </w:rPr>
              <w:t>400</w:t>
            </w:r>
          </w:p>
        </w:tc>
        <w:tc>
          <w:tcPr>
            <w:tcW w:type="dxa" w:w="1080"/>
          </w:tcPr>
          <w:p>
            <w:pPr>
              <w:jc w:val="right"/>
            </w:pPr>
            <w:r/>
            <w:r>
              <w:rPr>
                <w:sz w:val="16"/>
              </w:rPr>
              <w:t>12,000</w:t>
            </w:r>
          </w:p>
        </w:tc>
        <w:tc>
          <w:tcPr>
            <w:tcW w:type="dxa" w:w="792"/>
          </w:tcPr>
          <w:p>
            <w:pPr>
              <w:jc w:val="right"/>
            </w:pPr>
            <w:r/>
            <w:r>
              <w:rPr>
                <w:sz w:val="16"/>
              </w:rPr>
              <w:t>0.9%</w:t>
            </w:r>
          </w:p>
        </w:tc>
        <w:tc>
          <w:tcPr>
            <w:tcW w:type="dxa" w:w="1008"/>
          </w:tcPr>
          <w:p>
            <w:pPr>
              <w:jc w:val="right"/>
            </w:pPr>
            <w:r/>
            <w:r>
              <w:rPr>
                <w:sz w:val="16"/>
              </w:rPr>
              <w:t>30</w:t>
            </w:r>
          </w:p>
        </w:tc>
        <w:tc>
          <w:tcPr>
            <w:tcW w:type="dxa" w:w="792"/>
          </w:tcPr>
          <w:p>
            <w:pPr>
              <w:jc w:val="right"/>
            </w:pPr>
            <w:r/>
            <w:r>
              <w:rPr>
                <w:sz w:val="16"/>
              </w:rPr>
              <w:t>88</w:t>
            </w:r>
          </w:p>
        </w:tc>
        <w:tc>
          <w:tcPr>
            <w:tcW w:type="dxa" w:w="864"/>
          </w:tcPr>
          <w:p>
            <w:pPr>
              <w:jc w:val="right"/>
            </w:pPr>
            <w:r/>
            <w:r>
              <w:rPr>
                <w:sz w:val="16"/>
              </w:rPr>
              <w:t>33.6%</w:t>
            </w:r>
          </w:p>
        </w:tc>
      </w:tr>
    </w:tbl>
    <w:p>
      <w:pPr>
        <w:spacing w:after="40"/>
      </w:pPr>
    </w:p>
    <w:p>
      <w:r>
        <w:rPr>
          <w:b w:val="0"/>
          <w:i w:val="0"/>
        </w:rPr>
        <w:t>The three highest-priced products (Laptop, Smartphone and Monitor) provide 89.2% of revenue from 47.7% of orders. Order counts per product are fairly similar (between 120 and 181), so product revenue differences are driven mainly by price, not by popularity.</w:t>
      </w:r>
    </w:p>
    <w:p>
      <w:pPr>
        <w:pStyle w:val="Heading1"/>
      </w:pPr>
      <w:r>
        <w:t>16. Category Analysis</w:t>
      </w:r>
    </w:p>
    <w:p>
      <w:pPr>
        <w:keepNext/>
      </w:pPr>
      <w:r>
        <w:rPr>
          <w:b/>
          <w:i w:val="0"/>
          <w:sz w:val="20"/>
        </w:rPr>
        <w:t>Table 13: Category performance</w:t>
      </w:r>
    </w:p>
    <w:tbl>
      <w:tblPr>
        <w:tblStyle w:val="TableGrid"/>
        <w:tblW w:type="auto" w:w="0"/>
        <w:jc w:val="center"/>
        <w:tblLayout w:type="fixed"/>
        <w:tblLook w:firstColumn="1" w:firstRow="1" w:lastColumn="0" w:lastRow="0" w:noHBand="0" w:noVBand="1" w:val="04A0"/>
      </w:tblPr>
      <w:tblGrid>
        <w:gridCol w:w="1728"/>
        <w:gridCol w:w="1008"/>
        <w:gridCol w:w="1008"/>
        <w:gridCol w:w="1440"/>
        <w:gridCol w:w="1296"/>
        <w:gridCol w:w="1296"/>
        <w:gridCol w:w="1440"/>
      </w:tblGrid>
      <w:tr>
        <w:trPr>
          <w:tblHeader w:val="true"/>
        </w:trPr>
        <w:tc>
          <w:tcPr>
            <w:tcW w:type="dxa" w:w="1728"/>
            <w:shd w:val="clear" w:color="auto" w:fill="1F3864"/>
          </w:tcPr>
          <w:p>
            <w:r/>
            <w:r>
              <w:rPr>
                <w:b/>
                <w:color w:val="FFFFFF"/>
                <w:sz w:val="18"/>
              </w:rPr>
              <w:t>Category</w:t>
            </w:r>
          </w:p>
        </w:tc>
        <w:tc>
          <w:tcPr>
            <w:tcW w:type="dxa" w:w="1008"/>
            <w:shd w:val="clear" w:color="auto" w:fill="1F3864"/>
          </w:tcPr>
          <w:p>
            <w:r/>
            <w:r>
              <w:rPr>
                <w:b/>
                <w:color w:val="FFFFFF"/>
                <w:sz w:val="18"/>
              </w:rPr>
              <w:t>Orders</w:t>
            </w:r>
          </w:p>
        </w:tc>
        <w:tc>
          <w:tcPr>
            <w:tcW w:type="dxa" w:w="1008"/>
            <w:shd w:val="clear" w:color="auto" w:fill="1F3864"/>
          </w:tcPr>
          <w:p>
            <w:r/>
            <w:r>
              <w:rPr>
                <w:b/>
                <w:color w:val="FFFFFF"/>
                <w:sz w:val="18"/>
              </w:rPr>
              <w:t>Units</w:t>
            </w:r>
          </w:p>
        </w:tc>
        <w:tc>
          <w:tcPr>
            <w:tcW w:type="dxa" w:w="1440"/>
            <w:shd w:val="clear" w:color="auto" w:fill="1F3864"/>
          </w:tcPr>
          <w:p>
            <w:r/>
            <w:r>
              <w:rPr>
                <w:b/>
                <w:color w:val="FFFFFF"/>
                <w:sz w:val="18"/>
              </w:rPr>
              <w:t>Revenue</w:t>
            </w:r>
          </w:p>
        </w:tc>
        <w:tc>
          <w:tcPr>
            <w:tcW w:type="dxa" w:w="1296"/>
            <w:shd w:val="clear" w:color="auto" w:fill="1F3864"/>
          </w:tcPr>
          <w:p>
            <w:r/>
            <w:r>
              <w:rPr>
                <w:b/>
                <w:color w:val="FFFFFF"/>
                <w:sz w:val="18"/>
              </w:rPr>
              <w:t>Revenue share</w:t>
            </w:r>
          </w:p>
        </w:tc>
        <w:tc>
          <w:tcPr>
            <w:tcW w:type="dxa" w:w="1296"/>
            <w:shd w:val="clear" w:color="auto" w:fill="1F3864"/>
          </w:tcPr>
          <w:p>
            <w:r/>
            <w:r>
              <w:rPr>
                <w:b/>
                <w:color w:val="FFFFFF"/>
                <w:sz w:val="18"/>
              </w:rPr>
              <w:t>Order share</w:t>
            </w:r>
          </w:p>
        </w:tc>
        <w:tc>
          <w:tcPr>
            <w:tcW w:type="dxa" w:w="1440"/>
            <w:shd w:val="clear" w:color="auto" w:fill="1F3864"/>
          </w:tcPr>
          <w:p>
            <w:r/>
            <w:r>
              <w:rPr>
                <w:b/>
                <w:color w:val="FFFFFF"/>
                <w:sz w:val="18"/>
              </w:rPr>
              <w:t>Avg order value</w:t>
            </w:r>
          </w:p>
        </w:tc>
      </w:tr>
      <w:tr>
        <w:tc>
          <w:tcPr>
            <w:tcW w:type="dxa" w:w="1728"/>
          </w:tcPr>
          <w:p>
            <w:r/>
            <w:r>
              <w:rPr>
                <w:sz w:val="18"/>
              </w:rPr>
              <w:t>Electronics</w:t>
            </w:r>
          </w:p>
        </w:tc>
        <w:tc>
          <w:tcPr>
            <w:tcW w:type="dxa" w:w="1008"/>
          </w:tcPr>
          <w:p>
            <w:pPr>
              <w:jc w:val="right"/>
            </w:pPr>
            <w:r/>
            <w:r>
              <w:rPr>
                <w:sz w:val="18"/>
              </w:rPr>
              <w:t>477</w:t>
            </w:r>
          </w:p>
        </w:tc>
        <w:tc>
          <w:tcPr>
            <w:tcW w:type="dxa" w:w="1008"/>
          </w:tcPr>
          <w:p>
            <w:pPr>
              <w:jc w:val="right"/>
            </w:pPr>
            <w:r/>
            <w:r>
              <w:rPr>
                <w:sz w:val="18"/>
              </w:rPr>
              <w:t>1,409</w:t>
            </w:r>
          </w:p>
        </w:tc>
        <w:tc>
          <w:tcPr>
            <w:tcW w:type="dxa" w:w="1440"/>
          </w:tcPr>
          <w:p>
            <w:pPr>
              <w:jc w:val="right"/>
            </w:pPr>
            <w:r/>
            <w:r>
              <w:rPr>
                <w:sz w:val="18"/>
              </w:rPr>
              <w:t>1,200,500</w:t>
            </w:r>
          </w:p>
        </w:tc>
        <w:tc>
          <w:tcPr>
            <w:tcW w:type="dxa" w:w="1296"/>
          </w:tcPr>
          <w:p>
            <w:pPr>
              <w:jc w:val="right"/>
            </w:pPr>
            <w:r/>
            <w:r>
              <w:rPr>
                <w:sz w:val="18"/>
              </w:rPr>
              <w:t>89.2%</w:t>
            </w:r>
          </w:p>
        </w:tc>
        <w:tc>
          <w:tcPr>
            <w:tcW w:type="dxa" w:w="1296"/>
          </w:tcPr>
          <w:p>
            <w:pPr>
              <w:jc w:val="right"/>
            </w:pPr>
            <w:r/>
            <w:r>
              <w:rPr>
                <w:sz w:val="18"/>
              </w:rPr>
              <w:t>47.7%</w:t>
            </w:r>
          </w:p>
        </w:tc>
        <w:tc>
          <w:tcPr>
            <w:tcW w:type="dxa" w:w="1440"/>
          </w:tcPr>
          <w:p>
            <w:pPr>
              <w:jc w:val="right"/>
            </w:pPr>
            <w:r/>
            <w:r>
              <w:rPr>
                <w:sz w:val="18"/>
              </w:rPr>
              <w:t>2,517</w:t>
            </w:r>
          </w:p>
        </w:tc>
      </w:tr>
      <w:tr>
        <w:tc>
          <w:tcPr>
            <w:tcW w:type="dxa" w:w="1728"/>
          </w:tcPr>
          <w:p>
            <w:r/>
            <w:r>
              <w:rPr>
                <w:sz w:val="18"/>
              </w:rPr>
              <w:t>Wearables</w:t>
            </w:r>
          </w:p>
        </w:tc>
        <w:tc>
          <w:tcPr>
            <w:tcW w:type="dxa" w:w="1008"/>
          </w:tcPr>
          <w:p>
            <w:pPr>
              <w:jc w:val="right"/>
            </w:pPr>
            <w:r/>
            <w:r>
              <w:rPr>
                <w:sz w:val="18"/>
              </w:rPr>
              <w:t>122</w:t>
            </w:r>
          </w:p>
        </w:tc>
        <w:tc>
          <w:tcPr>
            <w:tcW w:type="dxa" w:w="1008"/>
          </w:tcPr>
          <w:p>
            <w:pPr>
              <w:jc w:val="right"/>
            </w:pPr>
            <w:r/>
            <w:r>
              <w:rPr>
                <w:sz w:val="18"/>
              </w:rPr>
              <w:t>371</w:t>
            </w:r>
          </w:p>
        </w:tc>
        <w:tc>
          <w:tcPr>
            <w:tcW w:type="dxa" w:w="1440"/>
          </w:tcPr>
          <w:p>
            <w:pPr>
              <w:jc w:val="right"/>
            </w:pPr>
            <w:r/>
            <w:r>
              <w:rPr>
                <w:sz w:val="18"/>
              </w:rPr>
              <w:t>74,200</w:t>
            </w:r>
          </w:p>
        </w:tc>
        <w:tc>
          <w:tcPr>
            <w:tcW w:type="dxa" w:w="1296"/>
          </w:tcPr>
          <w:p>
            <w:pPr>
              <w:jc w:val="right"/>
            </w:pPr>
            <w:r/>
            <w:r>
              <w:rPr>
                <w:sz w:val="18"/>
              </w:rPr>
              <w:t>5.5%</w:t>
            </w:r>
          </w:p>
        </w:tc>
        <w:tc>
          <w:tcPr>
            <w:tcW w:type="dxa" w:w="1296"/>
          </w:tcPr>
          <w:p>
            <w:pPr>
              <w:jc w:val="right"/>
            </w:pPr>
            <w:r/>
            <w:r>
              <w:rPr>
                <w:sz w:val="18"/>
              </w:rPr>
              <w:t>12.2%</w:t>
            </w:r>
          </w:p>
        </w:tc>
        <w:tc>
          <w:tcPr>
            <w:tcW w:type="dxa" w:w="1440"/>
          </w:tcPr>
          <w:p>
            <w:pPr>
              <w:jc w:val="right"/>
            </w:pPr>
            <w:r/>
            <w:r>
              <w:rPr>
                <w:sz w:val="18"/>
              </w:rPr>
              <w:t>608</w:t>
            </w:r>
          </w:p>
        </w:tc>
      </w:tr>
      <w:tr>
        <w:tc>
          <w:tcPr>
            <w:tcW w:type="dxa" w:w="1728"/>
          </w:tcPr>
          <w:p>
            <w:r/>
            <w:r>
              <w:rPr>
                <w:sz w:val="18"/>
              </w:rPr>
              <w:t>Accessories</w:t>
            </w:r>
          </w:p>
        </w:tc>
        <w:tc>
          <w:tcPr>
            <w:tcW w:type="dxa" w:w="1008"/>
          </w:tcPr>
          <w:p>
            <w:pPr>
              <w:jc w:val="right"/>
            </w:pPr>
            <w:r/>
            <w:r>
              <w:rPr>
                <w:sz w:val="18"/>
              </w:rPr>
              <w:t>401</w:t>
            </w:r>
          </w:p>
        </w:tc>
        <w:tc>
          <w:tcPr>
            <w:tcW w:type="dxa" w:w="1008"/>
          </w:tcPr>
          <w:p>
            <w:pPr>
              <w:jc w:val="right"/>
            </w:pPr>
            <w:r/>
            <w:r>
              <w:rPr>
                <w:sz w:val="18"/>
              </w:rPr>
              <w:t>1,228</w:t>
            </w:r>
          </w:p>
        </w:tc>
        <w:tc>
          <w:tcPr>
            <w:tcW w:type="dxa" w:w="1440"/>
          </w:tcPr>
          <w:p>
            <w:pPr>
              <w:jc w:val="right"/>
            </w:pPr>
            <w:r/>
            <w:r>
              <w:rPr>
                <w:sz w:val="18"/>
              </w:rPr>
              <w:t>71,900</w:t>
            </w:r>
          </w:p>
        </w:tc>
        <w:tc>
          <w:tcPr>
            <w:tcW w:type="dxa" w:w="1296"/>
          </w:tcPr>
          <w:p>
            <w:pPr>
              <w:jc w:val="right"/>
            </w:pPr>
            <w:r/>
            <w:r>
              <w:rPr>
                <w:sz w:val="18"/>
              </w:rPr>
              <w:t>5.3%</w:t>
            </w:r>
          </w:p>
        </w:tc>
        <w:tc>
          <w:tcPr>
            <w:tcW w:type="dxa" w:w="1296"/>
          </w:tcPr>
          <w:p>
            <w:pPr>
              <w:jc w:val="right"/>
            </w:pPr>
            <w:r/>
            <w:r>
              <w:rPr>
                <w:sz w:val="18"/>
              </w:rPr>
              <w:t>40.1%</w:t>
            </w:r>
          </w:p>
        </w:tc>
        <w:tc>
          <w:tcPr>
            <w:tcW w:type="dxa" w:w="1440"/>
          </w:tcPr>
          <w:p>
            <w:pPr>
              <w:jc w:val="right"/>
            </w:pPr>
            <w:r/>
            <w:r>
              <w:rPr>
                <w:sz w:val="18"/>
              </w:rPr>
              <w:t>179</w:t>
            </w:r>
          </w:p>
        </w:tc>
      </w:tr>
    </w:tbl>
    <w:p>
      <w:pPr>
        <w:spacing w:after="40"/>
      </w:pPr>
    </w:p>
    <w:p>
      <w:pPr>
        <w:keepNext/>
        <w:jc w:val="center"/>
      </w:pPr>
      <w:r>
        <w:drawing>
          <wp:inline xmlns:a="http://schemas.openxmlformats.org/drawingml/2006/main" xmlns:pic="http://schemas.openxmlformats.org/drawingml/2006/picture">
            <wp:extent cx="5669280" cy="2409444"/>
            <wp:docPr id="7" name="Picture 7"/>
            <wp:cNvGraphicFramePr>
              <a:graphicFrameLocks noChangeAspect="1"/>
            </wp:cNvGraphicFramePr>
            <a:graphic>
              <a:graphicData uri="http://schemas.openxmlformats.org/drawingml/2006/picture">
                <pic:pic>
                  <pic:nvPicPr>
                    <pic:cNvPr id="0" name="fig04_category.png"/>
                    <pic:cNvPicPr/>
                  </pic:nvPicPr>
                  <pic:blipFill>
                    <a:blip r:embed="rId17"/>
                    <a:stretch>
                      <a:fillRect/>
                    </a:stretch>
                  </pic:blipFill>
                  <pic:spPr>
                    <a:xfrm>
                      <a:off x="0" y="0"/>
                      <a:ext cx="5669280" cy="2409444"/>
                    </a:xfrm>
                    <a:prstGeom prst="rect"/>
                  </pic:spPr>
                </pic:pic>
              </a:graphicData>
            </a:graphic>
          </wp:inline>
        </w:drawing>
      </w:r>
    </w:p>
    <w:p>
      <w:pPr>
        <w:jc w:val="center"/>
      </w:pPr>
      <w:r>
        <w:rPr>
          <w:b/>
          <w:i/>
          <w:sz w:val="20"/>
        </w:rPr>
        <w:t>Figure 7: Revenue by category and share of revenue</w:t>
      </w:r>
    </w:p>
    <w:p>
      <w:r>
        <w:rPr>
          <w:b w:val="0"/>
          <w:i w:val="0"/>
        </w:rPr>
        <w:t>Electronics contributes 89.2% of revenue from 47.7% of orders, with an average order value of 2,517. Accessories has 40.1% of orders but only 5.3% of revenue. The business is therefore highly dependent on Electronics.</w:t>
      </w:r>
    </w:p>
    <w:p>
      <w:pPr>
        <w:keepNext/>
        <w:jc w:val="center"/>
      </w:pPr>
      <w:r>
        <w:drawing>
          <wp:inline xmlns:a="http://schemas.openxmlformats.org/drawingml/2006/main" xmlns:pic="http://schemas.openxmlformats.org/drawingml/2006/picture">
            <wp:extent cx="5669280" cy="1842516"/>
            <wp:docPr id="8" name="Picture 8"/>
            <wp:cNvGraphicFramePr>
              <a:graphicFrameLocks noChangeAspect="1"/>
            </wp:cNvGraphicFramePr>
            <a:graphic>
              <a:graphicData uri="http://schemas.openxmlformats.org/drawingml/2006/picture">
                <pic:pic>
                  <pic:nvPicPr>
                    <pic:cNvPr id="0" name="fig15_heatmap.png"/>
                    <pic:cNvPicPr/>
                  </pic:nvPicPr>
                  <pic:blipFill>
                    <a:blip r:embed="rId18"/>
                    <a:stretch>
                      <a:fillRect/>
                    </a:stretch>
                  </pic:blipFill>
                  <pic:spPr>
                    <a:xfrm>
                      <a:off x="0" y="0"/>
                      <a:ext cx="5669280" cy="1842516"/>
                    </a:xfrm>
                    <a:prstGeom prst="rect"/>
                  </pic:spPr>
                </pic:pic>
              </a:graphicData>
            </a:graphic>
          </wp:inline>
        </w:drawing>
      </w:r>
    </w:p>
    <w:p>
      <w:pPr>
        <w:jc w:val="center"/>
      </w:pPr>
      <w:r>
        <w:rPr>
          <w:b/>
          <w:i/>
          <w:sz w:val="20"/>
        </w:rPr>
        <w:t>Figure 8: Monthly revenue by category (complete months, thousands)</w:t>
      </w:r>
    </w:p>
    <w:p>
      <w:r>
        <w:rPr>
          <w:b w:val="0"/>
          <w:i w:val="0"/>
        </w:rPr>
        <w:t>Electronics dominates every month; the monthly variation in total revenue mostly follows the variation in Electronics sales.</w:t>
      </w:r>
    </w:p>
    <w:p>
      <w:pPr>
        <w:pStyle w:val="Heading1"/>
      </w:pPr>
      <w:r>
        <w:t>17. Regional Analysis</w:t>
      </w:r>
    </w:p>
    <w:p>
      <w:pPr>
        <w:keepNext/>
      </w:pPr>
      <w:r>
        <w:rPr>
          <w:b/>
          <w:i w:val="0"/>
          <w:sz w:val="20"/>
        </w:rPr>
        <w:t>Table 14: Regional performance (orders with known region)</w:t>
      </w:r>
    </w:p>
    <w:tbl>
      <w:tblPr>
        <w:tblStyle w:val="TableGrid"/>
        <w:tblW w:type="auto" w:w="0"/>
        <w:jc w:val="center"/>
        <w:tblLayout w:type="fixed"/>
        <w:tblLook w:firstColumn="1" w:firstRow="1" w:lastColumn="0" w:lastRow="0" w:noHBand="0" w:noVBand="1" w:val="04A0"/>
      </w:tblPr>
      <w:tblGrid>
        <w:gridCol w:w="1440"/>
        <w:gridCol w:w="1152"/>
        <w:gridCol w:w="1152"/>
        <w:gridCol w:w="1584"/>
        <w:gridCol w:w="1440"/>
        <w:gridCol w:w="1152"/>
        <w:gridCol w:w="1296"/>
      </w:tblGrid>
      <w:tr>
        <w:trPr>
          <w:tblHeader w:val="true"/>
        </w:trPr>
        <w:tc>
          <w:tcPr>
            <w:tcW w:type="dxa" w:w="1440"/>
            <w:shd w:val="clear" w:color="auto" w:fill="1F3864"/>
          </w:tcPr>
          <w:p>
            <w:r/>
            <w:r>
              <w:rPr>
                <w:b/>
                <w:color w:val="FFFFFF"/>
                <w:sz w:val="18"/>
              </w:rPr>
              <w:t>Region</w:t>
            </w:r>
          </w:p>
        </w:tc>
        <w:tc>
          <w:tcPr>
            <w:tcW w:type="dxa" w:w="1152"/>
            <w:shd w:val="clear" w:color="auto" w:fill="1F3864"/>
          </w:tcPr>
          <w:p>
            <w:r/>
            <w:r>
              <w:rPr>
                <w:b/>
                <w:color w:val="FFFFFF"/>
                <w:sz w:val="18"/>
              </w:rPr>
              <w:t>Orders</w:t>
            </w:r>
          </w:p>
        </w:tc>
        <w:tc>
          <w:tcPr>
            <w:tcW w:type="dxa" w:w="1152"/>
            <w:shd w:val="clear" w:color="auto" w:fill="1F3864"/>
          </w:tcPr>
          <w:p>
            <w:r/>
            <w:r>
              <w:rPr>
                <w:b/>
                <w:color w:val="FFFFFF"/>
                <w:sz w:val="18"/>
              </w:rPr>
              <w:t>Units</w:t>
            </w:r>
          </w:p>
        </w:tc>
        <w:tc>
          <w:tcPr>
            <w:tcW w:type="dxa" w:w="1584"/>
            <w:shd w:val="clear" w:color="auto" w:fill="1F3864"/>
          </w:tcPr>
          <w:p>
            <w:r/>
            <w:r>
              <w:rPr>
                <w:b/>
                <w:color w:val="FFFFFF"/>
                <w:sz w:val="18"/>
              </w:rPr>
              <w:t>Revenue</w:t>
            </w:r>
          </w:p>
        </w:tc>
        <w:tc>
          <w:tcPr>
            <w:tcW w:type="dxa" w:w="1440"/>
            <w:shd w:val="clear" w:color="auto" w:fill="1F3864"/>
          </w:tcPr>
          <w:p>
            <w:r/>
            <w:r>
              <w:rPr>
                <w:b/>
                <w:color w:val="FFFFFF"/>
                <w:sz w:val="18"/>
              </w:rPr>
              <w:t>Revenue share</w:t>
            </w:r>
          </w:p>
        </w:tc>
        <w:tc>
          <w:tcPr>
            <w:tcW w:type="dxa" w:w="1152"/>
            <w:shd w:val="clear" w:color="auto" w:fill="1F3864"/>
          </w:tcPr>
          <w:p>
            <w:r/>
            <w:r>
              <w:rPr>
                <w:b/>
                <w:color w:val="FFFFFF"/>
                <w:sz w:val="18"/>
              </w:rPr>
              <w:t>AOV</w:t>
            </w:r>
          </w:p>
        </w:tc>
        <w:tc>
          <w:tcPr>
            <w:tcW w:type="dxa" w:w="1296"/>
            <w:shd w:val="clear" w:color="auto" w:fill="1F3864"/>
          </w:tcPr>
          <w:p>
            <w:r/>
            <w:r>
              <w:rPr>
                <w:b/>
                <w:color w:val="FFFFFF"/>
                <w:sz w:val="18"/>
              </w:rPr>
              <w:t>Return rate</w:t>
            </w:r>
          </w:p>
        </w:tc>
      </w:tr>
      <w:tr>
        <w:tc>
          <w:tcPr>
            <w:tcW w:type="dxa" w:w="1440"/>
          </w:tcPr>
          <w:p>
            <w:r/>
            <w:r>
              <w:rPr>
                <w:sz w:val="18"/>
              </w:rPr>
              <w:t>East</w:t>
            </w:r>
          </w:p>
        </w:tc>
        <w:tc>
          <w:tcPr>
            <w:tcW w:type="dxa" w:w="1152"/>
          </w:tcPr>
          <w:p>
            <w:pPr>
              <w:jc w:val="right"/>
            </w:pPr>
            <w:r/>
            <w:r>
              <w:rPr>
                <w:sz w:val="18"/>
              </w:rPr>
              <w:t>231</w:t>
            </w:r>
          </w:p>
        </w:tc>
        <w:tc>
          <w:tcPr>
            <w:tcW w:type="dxa" w:w="1152"/>
          </w:tcPr>
          <w:p>
            <w:pPr>
              <w:jc w:val="right"/>
            </w:pPr>
            <w:r/>
            <w:r>
              <w:rPr>
                <w:sz w:val="18"/>
              </w:rPr>
              <w:t>715</w:t>
            </w:r>
          </w:p>
        </w:tc>
        <w:tc>
          <w:tcPr>
            <w:tcW w:type="dxa" w:w="1584"/>
          </w:tcPr>
          <w:p>
            <w:pPr>
              <w:jc w:val="right"/>
            </w:pPr>
            <w:r/>
            <w:r>
              <w:rPr>
                <w:sz w:val="18"/>
              </w:rPr>
              <w:t>329,950</w:t>
            </w:r>
          </w:p>
        </w:tc>
        <w:tc>
          <w:tcPr>
            <w:tcW w:type="dxa" w:w="1440"/>
          </w:tcPr>
          <w:p>
            <w:pPr>
              <w:jc w:val="right"/>
            </w:pPr>
            <w:r/>
            <w:r>
              <w:rPr>
                <w:sz w:val="18"/>
              </w:rPr>
              <w:t>25.8%</w:t>
            </w:r>
          </w:p>
        </w:tc>
        <w:tc>
          <w:tcPr>
            <w:tcW w:type="dxa" w:w="1152"/>
          </w:tcPr>
          <w:p>
            <w:pPr>
              <w:jc w:val="right"/>
            </w:pPr>
            <w:r/>
            <w:r>
              <w:rPr>
                <w:sz w:val="18"/>
              </w:rPr>
              <w:t>1,428</w:t>
            </w:r>
          </w:p>
        </w:tc>
        <w:tc>
          <w:tcPr>
            <w:tcW w:type="dxa" w:w="1296"/>
          </w:tcPr>
          <w:p>
            <w:pPr>
              <w:jc w:val="right"/>
            </w:pPr>
            <w:r/>
            <w:r>
              <w:rPr>
                <w:sz w:val="18"/>
              </w:rPr>
              <w:t>28.6%</w:t>
            </w:r>
          </w:p>
        </w:tc>
      </w:tr>
      <w:tr>
        <w:tc>
          <w:tcPr>
            <w:tcW w:type="dxa" w:w="1440"/>
          </w:tcPr>
          <w:p>
            <w:r/>
            <w:r>
              <w:rPr>
                <w:sz w:val="18"/>
              </w:rPr>
              <w:t>North</w:t>
            </w:r>
          </w:p>
        </w:tc>
        <w:tc>
          <w:tcPr>
            <w:tcW w:type="dxa" w:w="1152"/>
          </w:tcPr>
          <w:p>
            <w:pPr>
              <w:jc w:val="right"/>
            </w:pPr>
            <w:r/>
            <w:r>
              <w:rPr>
                <w:sz w:val="18"/>
              </w:rPr>
              <w:t>229</w:t>
            </w:r>
          </w:p>
        </w:tc>
        <w:tc>
          <w:tcPr>
            <w:tcW w:type="dxa" w:w="1152"/>
          </w:tcPr>
          <w:p>
            <w:pPr>
              <w:jc w:val="right"/>
            </w:pPr>
            <w:r/>
            <w:r>
              <w:rPr>
                <w:sz w:val="18"/>
              </w:rPr>
              <w:t>702</w:t>
            </w:r>
          </w:p>
        </w:tc>
        <w:tc>
          <w:tcPr>
            <w:tcW w:type="dxa" w:w="1584"/>
          </w:tcPr>
          <w:p>
            <w:pPr>
              <w:jc w:val="right"/>
            </w:pPr>
            <w:r/>
            <w:r>
              <w:rPr>
                <w:sz w:val="18"/>
              </w:rPr>
              <w:t>324,990</w:t>
            </w:r>
          </w:p>
        </w:tc>
        <w:tc>
          <w:tcPr>
            <w:tcW w:type="dxa" w:w="1440"/>
          </w:tcPr>
          <w:p>
            <w:pPr>
              <w:jc w:val="right"/>
            </w:pPr>
            <w:r/>
            <w:r>
              <w:rPr>
                <w:sz w:val="18"/>
              </w:rPr>
              <w:t>25.4%</w:t>
            </w:r>
          </w:p>
        </w:tc>
        <w:tc>
          <w:tcPr>
            <w:tcW w:type="dxa" w:w="1152"/>
          </w:tcPr>
          <w:p>
            <w:pPr>
              <w:jc w:val="right"/>
            </w:pPr>
            <w:r/>
            <w:r>
              <w:rPr>
                <w:sz w:val="18"/>
              </w:rPr>
              <w:t>1,419</w:t>
            </w:r>
          </w:p>
        </w:tc>
        <w:tc>
          <w:tcPr>
            <w:tcW w:type="dxa" w:w="1296"/>
          </w:tcPr>
          <w:p>
            <w:pPr>
              <w:jc w:val="right"/>
            </w:pPr>
            <w:r/>
            <w:r>
              <w:rPr>
                <w:sz w:val="18"/>
              </w:rPr>
              <w:t>30.5%</w:t>
            </w:r>
          </w:p>
        </w:tc>
      </w:tr>
      <w:tr>
        <w:tc>
          <w:tcPr>
            <w:tcW w:type="dxa" w:w="1440"/>
          </w:tcPr>
          <w:p>
            <w:r/>
            <w:r>
              <w:rPr>
                <w:sz w:val="18"/>
              </w:rPr>
              <w:t>West</w:t>
            </w:r>
          </w:p>
        </w:tc>
        <w:tc>
          <w:tcPr>
            <w:tcW w:type="dxa" w:w="1152"/>
          </w:tcPr>
          <w:p>
            <w:pPr>
              <w:jc w:val="right"/>
            </w:pPr>
            <w:r/>
            <w:r>
              <w:rPr>
                <w:sz w:val="18"/>
              </w:rPr>
              <w:t>246</w:t>
            </w:r>
          </w:p>
        </w:tc>
        <w:tc>
          <w:tcPr>
            <w:tcW w:type="dxa" w:w="1152"/>
          </w:tcPr>
          <w:p>
            <w:pPr>
              <w:jc w:val="right"/>
            </w:pPr>
            <w:r/>
            <w:r>
              <w:rPr>
                <w:sz w:val="18"/>
              </w:rPr>
              <w:t>733</w:t>
            </w:r>
          </w:p>
        </w:tc>
        <w:tc>
          <w:tcPr>
            <w:tcW w:type="dxa" w:w="1584"/>
          </w:tcPr>
          <w:p>
            <w:pPr>
              <w:jc w:val="right"/>
            </w:pPr>
            <w:r/>
            <w:r>
              <w:rPr>
                <w:sz w:val="18"/>
              </w:rPr>
              <w:t>323,390</w:t>
            </w:r>
          </w:p>
        </w:tc>
        <w:tc>
          <w:tcPr>
            <w:tcW w:type="dxa" w:w="1440"/>
          </w:tcPr>
          <w:p>
            <w:pPr>
              <w:jc w:val="right"/>
            </w:pPr>
            <w:r/>
            <w:r>
              <w:rPr>
                <w:sz w:val="18"/>
              </w:rPr>
              <w:t>25.3%</w:t>
            </w:r>
          </w:p>
        </w:tc>
        <w:tc>
          <w:tcPr>
            <w:tcW w:type="dxa" w:w="1152"/>
          </w:tcPr>
          <w:p>
            <w:pPr>
              <w:jc w:val="right"/>
            </w:pPr>
            <w:r/>
            <w:r>
              <w:rPr>
                <w:sz w:val="18"/>
              </w:rPr>
              <w:t>1,315</w:t>
            </w:r>
          </w:p>
        </w:tc>
        <w:tc>
          <w:tcPr>
            <w:tcW w:type="dxa" w:w="1296"/>
          </w:tcPr>
          <w:p>
            <w:pPr>
              <w:jc w:val="right"/>
            </w:pPr>
            <w:r/>
            <w:r>
              <w:rPr>
                <w:sz w:val="18"/>
              </w:rPr>
              <w:t>39.9%</w:t>
            </w:r>
          </w:p>
        </w:tc>
      </w:tr>
      <w:tr>
        <w:tc>
          <w:tcPr>
            <w:tcW w:type="dxa" w:w="1440"/>
          </w:tcPr>
          <w:p>
            <w:r/>
            <w:r>
              <w:rPr>
                <w:sz w:val="18"/>
              </w:rPr>
              <w:t>South</w:t>
            </w:r>
          </w:p>
        </w:tc>
        <w:tc>
          <w:tcPr>
            <w:tcW w:type="dxa" w:w="1152"/>
          </w:tcPr>
          <w:p>
            <w:pPr>
              <w:jc w:val="right"/>
            </w:pPr>
            <w:r/>
            <w:r>
              <w:rPr>
                <w:sz w:val="18"/>
              </w:rPr>
              <w:t>244</w:t>
            </w:r>
          </w:p>
        </w:tc>
        <w:tc>
          <w:tcPr>
            <w:tcW w:type="dxa" w:w="1152"/>
          </w:tcPr>
          <w:p>
            <w:pPr>
              <w:jc w:val="right"/>
            </w:pPr>
            <w:r/>
            <w:r>
              <w:rPr>
                <w:sz w:val="18"/>
              </w:rPr>
              <w:t>726</w:t>
            </w:r>
          </w:p>
        </w:tc>
        <w:tc>
          <w:tcPr>
            <w:tcW w:type="dxa" w:w="1584"/>
          </w:tcPr>
          <w:p>
            <w:pPr>
              <w:jc w:val="right"/>
            </w:pPr>
            <w:r/>
            <w:r>
              <w:rPr>
                <w:sz w:val="18"/>
              </w:rPr>
              <w:t>301,040</w:t>
            </w:r>
          </w:p>
        </w:tc>
        <w:tc>
          <w:tcPr>
            <w:tcW w:type="dxa" w:w="1440"/>
          </w:tcPr>
          <w:p>
            <w:pPr>
              <w:jc w:val="right"/>
            </w:pPr>
            <w:r/>
            <w:r>
              <w:rPr>
                <w:sz w:val="18"/>
              </w:rPr>
              <w:t>23.5%</w:t>
            </w:r>
          </w:p>
        </w:tc>
        <w:tc>
          <w:tcPr>
            <w:tcW w:type="dxa" w:w="1152"/>
          </w:tcPr>
          <w:p>
            <w:pPr>
              <w:jc w:val="right"/>
            </w:pPr>
            <w:r/>
            <w:r>
              <w:rPr>
                <w:sz w:val="18"/>
              </w:rPr>
              <w:t>1,234</w:t>
            </w:r>
          </w:p>
        </w:tc>
        <w:tc>
          <w:tcPr>
            <w:tcW w:type="dxa" w:w="1296"/>
          </w:tcPr>
          <w:p>
            <w:pPr>
              <w:jc w:val="right"/>
            </w:pPr>
            <w:r/>
            <w:r>
              <w:rPr>
                <w:sz w:val="18"/>
              </w:rPr>
              <w:t>27.5%</w:t>
            </w:r>
          </w:p>
        </w:tc>
      </w:tr>
    </w:tbl>
    <w:p>
      <w:pPr>
        <w:spacing w:after="40"/>
      </w:pPr>
    </w:p>
    <w:p>
      <w:pPr>
        <w:keepNext/>
        <w:jc w:val="center"/>
      </w:pPr>
      <w:r>
        <w:drawing>
          <wp:inline xmlns:a="http://schemas.openxmlformats.org/drawingml/2006/main" xmlns:pic="http://schemas.openxmlformats.org/drawingml/2006/picture">
            <wp:extent cx="5669280" cy="2409444"/>
            <wp:docPr id="9" name="Picture 9"/>
            <wp:cNvGraphicFramePr>
              <a:graphicFrameLocks noChangeAspect="1"/>
            </wp:cNvGraphicFramePr>
            <a:graphic>
              <a:graphicData uri="http://schemas.openxmlformats.org/drawingml/2006/picture">
                <pic:pic>
                  <pic:nvPicPr>
                    <pic:cNvPr id="0" name="fig06_region.png"/>
                    <pic:cNvPicPr/>
                  </pic:nvPicPr>
                  <pic:blipFill>
                    <a:blip r:embed="rId19"/>
                    <a:stretch>
                      <a:fillRect/>
                    </a:stretch>
                  </pic:blipFill>
                  <pic:spPr>
                    <a:xfrm>
                      <a:off x="0" y="0"/>
                      <a:ext cx="5669280" cy="2409444"/>
                    </a:xfrm>
                    <a:prstGeom prst="rect"/>
                  </pic:spPr>
                </pic:pic>
              </a:graphicData>
            </a:graphic>
          </wp:inline>
        </w:drawing>
      </w:r>
    </w:p>
    <w:p>
      <w:pPr>
        <w:jc w:val="center"/>
      </w:pPr>
      <w:r>
        <w:rPr>
          <w:b/>
          <w:i/>
          <w:sz w:val="20"/>
        </w:rPr>
        <w:t>Figure 9: Revenue and average order value by region</w:t>
      </w:r>
    </w:p>
    <w:p>
      <w:r>
        <w:rPr>
          <w:b w:val="0"/>
          <w:i w:val="0"/>
        </w:rPr>
        <w:t>East has the highest revenue (329,950) and South the lowest (301,040); the best region is only 9.6% above the lowest. Each region contributes between 23.5% and 25.8% of total revenue, and the difference in order value between regions is not statistically significant. Sales are therefore well balanced geographically. 50 orders (5%) have no region recorded and are excluded from these comparisons.</w:t>
      </w:r>
    </w:p>
    <w:p>
      <w:pPr>
        <w:pStyle w:val="Heading1"/>
      </w:pPr>
      <w:r>
        <w:t>18. Shipping Analysis</w:t>
      </w:r>
    </w:p>
    <w:p>
      <w:pPr>
        <w:keepNext/>
      </w:pPr>
      <w:r>
        <w:rPr>
          <w:b/>
          <w:i w:val="0"/>
          <w:sz w:val="20"/>
        </w:rPr>
        <w:t>Table 15: Shipping status distribution</w:t>
      </w:r>
    </w:p>
    <w:tbl>
      <w:tblPr>
        <w:tblStyle w:val="TableGrid"/>
        <w:tblW w:type="auto" w:w="0"/>
        <w:jc w:val="center"/>
        <w:tblLayout w:type="fixed"/>
        <w:tblLook w:firstColumn="1" w:firstRow="1" w:lastColumn="0" w:lastRow="0" w:noHBand="0" w:noVBand="1" w:val="04A0"/>
      </w:tblPr>
      <w:tblGrid>
        <w:gridCol w:w="2880"/>
        <w:gridCol w:w="1728"/>
        <w:gridCol w:w="2160"/>
      </w:tblGrid>
      <w:tr>
        <w:trPr>
          <w:tblHeader w:val="true"/>
        </w:trPr>
        <w:tc>
          <w:tcPr>
            <w:tcW w:type="dxa" w:w="2880"/>
            <w:shd w:val="clear" w:color="auto" w:fill="1F3864"/>
          </w:tcPr>
          <w:p>
            <w:r/>
            <w:r>
              <w:rPr>
                <w:b/>
                <w:color w:val="FFFFFF"/>
                <w:sz w:val="18"/>
              </w:rPr>
              <w:t>Shipping status</w:t>
            </w:r>
          </w:p>
        </w:tc>
        <w:tc>
          <w:tcPr>
            <w:tcW w:type="dxa" w:w="1728"/>
            <w:shd w:val="clear" w:color="auto" w:fill="1F3864"/>
          </w:tcPr>
          <w:p>
            <w:r/>
            <w:r>
              <w:rPr>
                <w:b/>
                <w:color w:val="FFFFFF"/>
                <w:sz w:val="18"/>
              </w:rPr>
              <w:t>Orders</w:t>
            </w:r>
          </w:p>
        </w:tc>
        <w:tc>
          <w:tcPr>
            <w:tcW w:type="dxa" w:w="2160"/>
            <w:shd w:val="clear" w:color="auto" w:fill="1F3864"/>
          </w:tcPr>
          <w:p>
            <w:r/>
            <w:r>
              <w:rPr>
                <w:b/>
                <w:color w:val="FFFFFF"/>
                <w:sz w:val="18"/>
              </w:rPr>
              <w:t>% of all orders</w:t>
            </w:r>
          </w:p>
        </w:tc>
      </w:tr>
      <w:tr>
        <w:tc>
          <w:tcPr>
            <w:tcW w:type="dxa" w:w="2880"/>
          </w:tcPr>
          <w:p>
            <w:r/>
            <w:r>
              <w:rPr>
                <w:sz w:val="18"/>
              </w:rPr>
              <w:t>Delivered</w:t>
            </w:r>
          </w:p>
        </w:tc>
        <w:tc>
          <w:tcPr>
            <w:tcW w:type="dxa" w:w="1728"/>
          </w:tcPr>
          <w:p>
            <w:pPr>
              <w:jc w:val="right"/>
            </w:pPr>
            <w:r/>
            <w:r>
              <w:rPr>
                <w:sz w:val="18"/>
              </w:rPr>
              <w:t>313</w:t>
            </w:r>
          </w:p>
        </w:tc>
        <w:tc>
          <w:tcPr>
            <w:tcW w:type="dxa" w:w="2160"/>
          </w:tcPr>
          <w:p>
            <w:pPr>
              <w:jc w:val="right"/>
            </w:pPr>
            <w:r/>
            <w:r>
              <w:rPr>
                <w:sz w:val="18"/>
              </w:rPr>
              <w:t>31.3%</w:t>
            </w:r>
          </w:p>
        </w:tc>
      </w:tr>
      <w:tr>
        <w:tc>
          <w:tcPr>
            <w:tcW w:type="dxa" w:w="2880"/>
          </w:tcPr>
          <w:p>
            <w:r/>
            <w:r>
              <w:rPr>
                <w:sz w:val="18"/>
              </w:rPr>
              <w:t>In Transit</w:t>
            </w:r>
          </w:p>
        </w:tc>
        <w:tc>
          <w:tcPr>
            <w:tcW w:type="dxa" w:w="1728"/>
          </w:tcPr>
          <w:p>
            <w:pPr>
              <w:jc w:val="right"/>
            </w:pPr>
            <w:r/>
            <w:r>
              <w:rPr>
                <w:sz w:val="18"/>
              </w:rPr>
              <w:t>329</w:t>
            </w:r>
          </w:p>
        </w:tc>
        <w:tc>
          <w:tcPr>
            <w:tcW w:type="dxa" w:w="2160"/>
          </w:tcPr>
          <w:p>
            <w:pPr>
              <w:jc w:val="right"/>
            </w:pPr>
            <w:r/>
            <w:r>
              <w:rPr>
                <w:sz w:val="18"/>
              </w:rPr>
              <w:t>32.9%</w:t>
            </w:r>
          </w:p>
        </w:tc>
      </w:tr>
      <w:tr>
        <w:tc>
          <w:tcPr>
            <w:tcW w:type="dxa" w:w="2880"/>
          </w:tcPr>
          <w:p>
            <w:r/>
            <w:r>
              <w:rPr>
                <w:sz w:val="18"/>
              </w:rPr>
              <w:t>Returned</w:t>
            </w:r>
          </w:p>
        </w:tc>
        <w:tc>
          <w:tcPr>
            <w:tcW w:type="dxa" w:w="1728"/>
          </w:tcPr>
          <w:p>
            <w:pPr>
              <w:jc w:val="right"/>
            </w:pPr>
            <w:r/>
            <w:r>
              <w:rPr>
                <w:sz w:val="18"/>
              </w:rPr>
              <w:t>308</w:t>
            </w:r>
          </w:p>
        </w:tc>
        <w:tc>
          <w:tcPr>
            <w:tcW w:type="dxa" w:w="2160"/>
          </w:tcPr>
          <w:p>
            <w:pPr>
              <w:jc w:val="right"/>
            </w:pPr>
            <w:r/>
            <w:r>
              <w:rPr>
                <w:sz w:val="18"/>
              </w:rPr>
              <w:t>30.8%</w:t>
            </w:r>
          </w:p>
        </w:tc>
      </w:tr>
      <w:tr>
        <w:tc>
          <w:tcPr>
            <w:tcW w:type="dxa" w:w="2880"/>
          </w:tcPr>
          <w:p>
            <w:r/>
            <w:r>
              <w:rPr>
                <w:sz w:val="18"/>
              </w:rPr>
              <w:t>Unknown</w:t>
            </w:r>
          </w:p>
        </w:tc>
        <w:tc>
          <w:tcPr>
            <w:tcW w:type="dxa" w:w="1728"/>
          </w:tcPr>
          <w:p>
            <w:pPr>
              <w:jc w:val="right"/>
            </w:pPr>
            <w:r/>
            <w:r>
              <w:rPr>
                <w:sz w:val="18"/>
              </w:rPr>
              <w:t>50</w:t>
            </w:r>
          </w:p>
        </w:tc>
        <w:tc>
          <w:tcPr>
            <w:tcW w:type="dxa" w:w="2160"/>
          </w:tcPr>
          <w:p>
            <w:pPr>
              <w:jc w:val="right"/>
            </w:pPr>
            <w:r/>
            <w:r>
              <w:rPr>
                <w:sz w:val="18"/>
              </w:rPr>
              <w:t>5.0%</w:t>
            </w:r>
          </w:p>
        </w:tc>
      </w:tr>
    </w:tbl>
    <w:p>
      <w:pPr>
        <w:spacing w:after="40"/>
      </w:pPr>
    </w:p>
    <w:p>
      <w:pPr>
        <w:keepNext/>
        <w:jc w:val="center"/>
      </w:pPr>
      <w:r>
        <w:drawing>
          <wp:inline xmlns:a="http://schemas.openxmlformats.org/drawingml/2006/main" xmlns:pic="http://schemas.openxmlformats.org/drawingml/2006/picture">
            <wp:extent cx="4023360" cy="2633472"/>
            <wp:docPr id="10" name="Picture 10"/>
            <wp:cNvGraphicFramePr>
              <a:graphicFrameLocks noChangeAspect="1"/>
            </wp:cNvGraphicFramePr>
            <a:graphic>
              <a:graphicData uri="http://schemas.openxmlformats.org/drawingml/2006/picture">
                <pic:pic>
                  <pic:nvPicPr>
                    <pic:cNvPr id="0" name="fig09_status.png"/>
                    <pic:cNvPicPr/>
                  </pic:nvPicPr>
                  <pic:blipFill>
                    <a:blip r:embed="rId20"/>
                    <a:stretch>
                      <a:fillRect/>
                    </a:stretch>
                  </pic:blipFill>
                  <pic:spPr>
                    <a:xfrm>
                      <a:off x="0" y="0"/>
                      <a:ext cx="4023360" cy="2633472"/>
                    </a:xfrm>
                    <a:prstGeom prst="rect"/>
                  </pic:spPr>
                </pic:pic>
              </a:graphicData>
            </a:graphic>
          </wp:inline>
        </w:drawing>
      </w:r>
    </w:p>
    <w:p>
      <w:pPr>
        <w:jc w:val="center"/>
      </w:pPr>
      <w:r>
        <w:rPr>
          <w:b/>
          <w:i/>
          <w:sz w:val="20"/>
        </w:rPr>
        <w:t>Figure 10: Shipping status distribution</w:t>
      </w:r>
    </w:p>
    <w:p>
      <w:r>
        <w:rPr>
          <w:b w:val="0"/>
          <w:i w:val="0"/>
        </w:rPr>
        <w:t>Among orders with a known status, 32.9% are delivered, 34.6% in transit and 32.4% returned. The share of returned orders is almost as large as delivered orders, which is a major concern for profitability. 5.0% of orders have no status recorded.</w:t>
      </w:r>
    </w:p>
    <w:p>
      <w:pPr>
        <w:keepNext/>
        <w:jc w:val="center"/>
      </w:pPr>
      <w:r>
        <w:drawing>
          <wp:inline xmlns:a="http://schemas.openxmlformats.org/drawingml/2006/main" xmlns:pic="http://schemas.openxmlformats.org/drawingml/2006/picture">
            <wp:extent cx="5669280" cy="2401107"/>
            <wp:docPr id="11" name="Picture 11"/>
            <wp:cNvGraphicFramePr>
              <a:graphicFrameLocks noChangeAspect="1"/>
            </wp:cNvGraphicFramePr>
            <a:graphic>
              <a:graphicData uri="http://schemas.openxmlformats.org/drawingml/2006/picture">
                <pic:pic>
                  <pic:nvPicPr>
                    <pic:cNvPr id="0" name="fig10_region_returns.png"/>
                    <pic:cNvPicPr/>
                  </pic:nvPicPr>
                  <pic:blipFill>
                    <a:blip r:embed="rId21"/>
                    <a:stretch>
                      <a:fillRect/>
                    </a:stretch>
                  </pic:blipFill>
                  <pic:spPr>
                    <a:xfrm>
                      <a:off x="0" y="0"/>
                      <a:ext cx="5669280" cy="2401107"/>
                    </a:xfrm>
                    <a:prstGeom prst="rect"/>
                  </pic:spPr>
                </pic:pic>
              </a:graphicData>
            </a:graphic>
          </wp:inline>
        </w:drawing>
      </w:r>
    </w:p>
    <w:p>
      <w:pPr>
        <w:jc w:val="center"/>
      </w:pPr>
      <w:r>
        <w:rPr>
          <w:b/>
          <w:i/>
          <w:sz w:val="20"/>
        </w:rPr>
        <w:t>Figure 11: Shipping status mix and return rate by region</w:t>
      </w:r>
    </w:p>
    <w:p>
      <w:r>
        <w:rPr>
          <w:b w:val="0"/>
          <w:i w:val="0"/>
        </w:rPr>
        <w:t>West has the highest return rate (39.9%, 95% CI 33.9-46.3%) and South the lowest (27.5%). The chi-square test (p = 0.0004) confirms that status mix differs between regions, and the West interval does not overlap with the lowest region's interval.</w:t>
      </w:r>
    </w:p>
    <w:p>
      <w:pPr>
        <w:keepNext/>
        <w:jc w:val="center"/>
      </w:pPr>
      <w:r>
        <w:drawing>
          <wp:inline xmlns:a="http://schemas.openxmlformats.org/drawingml/2006/main" xmlns:pic="http://schemas.openxmlformats.org/drawingml/2006/picture">
            <wp:extent cx="5669280" cy="2401107"/>
            <wp:docPr id="12" name="Picture 12"/>
            <wp:cNvGraphicFramePr>
              <a:graphicFrameLocks noChangeAspect="1"/>
            </wp:cNvGraphicFramePr>
            <a:graphic>
              <a:graphicData uri="http://schemas.openxmlformats.org/drawingml/2006/picture">
                <pic:pic>
                  <pic:nvPicPr>
                    <pic:cNvPr id="0" name="fig11_category_product_returns.png"/>
                    <pic:cNvPicPr/>
                  </pic:nvPicPr>
                  <pic:blipFill>
                    <a:blip r:embed="rId22"/>
                    <a:stretch>
                      <a:fillRect/>
                    </a:stretch>
                  </pic:blipFill>
                  <pic:spPr>
                    <a:xfrm>
                      <a:off x="0" y="0"/>
                      <a:ext cx="5669280" cy="2401107"/>
                    </a:xfrm>
                    <a:prstGeom prst="rect"/>
                  </pic:spPr>
                </pic:pic>
              </a:graphicData>
            </a:graphic>
          </wp:inline>
        </w:drawing>
      </w:r>
    </w:p>
    <w:p>
      <w:pPr>
        <w:jc w:val="center"/>
      </w:pPr>
      <w:r>
        <w:rPr>
          <w:b/>
          <w:i/>
          <w:sz w:val="20"/>
        </w:rPr>
        <w:t>Figure 12: Return rate by category and product with 95% confidence intervals</w:t>
      </w:r>
    </w:p>
    <w:p>
      <w:r>
        <w:rPr>
          <w:b w:val="0"/>
          <w:i w:val="0"/>
        </w:rPr>
        <w:t>Category return rates are between 31.8% and 33.1% and product return rates between 30.2% (Monitor) and 34.5% (Headphones). All confidence intervals overlap and the category test is not statistically significant, so no category or product can be said to have a truly higher return rate. The apparent differences are consistent with random variation, so the return problem seems to be company-wide.</w:t>
      </w:r>
    </w:p>
    <w:p>
      <w:pPr>
        <w:keepNext/>
        <w:jc w:val="center"/>
      </w:pPr>
      <w:r>
        <w:drawing>
          <wp:inline xmlns:a="http://schemas.openxmlformats.org/drawingml/2006/main" xmlns:pic="http://schemas.openxmlformats.org/drawingml/2006/picture">
            <wp:extent cx="5669280" cy="2409444"/>
            <wp:docPr id="13" name="Picture 13"/>
            <wp:cNvGraphicFramePr>
              <a:graphicFrameLocks noChangeAspect="1"/>
            </wp:cNvGraphicFramePr>
            <a:graphic>
              <a:graphicData uri="http://schemas.openxmlformats.org/drawingml/2006/picture">
                <pic:pic>
                  <pic:nvPicPr>
                    <pic:cNvPr id="0" name="fig12_shipping_fee.png"/>
                    <pic:cNvPicPr/>
                  </pic:nvPicPr>
                  <pic:blipFill>
                    <a:blip r:embed="rId23"/>
                    <a:stretch>
                      <a:fillRect/>
                    </a:stretch>
                  </pic:blipFill>
                  <pic:spPr>
                    <a:xfrm>
                      <a:off x="0" y="0"/>
                      <a:ext cx="5669280" cy="2409444"/>
                    </a:xfrm>
                    <a:prstGeom prst="rect"/>
                  </pic:spPr>
                </pic:pic>
              </a:graphicData>
            </a:graphic>
          </wp:inline>
        </w:drawing>
      </w:r>
    </w:p>
    <w:p>
      <w:pPr>
        <w:jc w:val="center"/>
      </w:pPr>
      <w:r>
        <w:rPr>
          <w:b/>
          <w:i/>
          <w:sz w:val="20"/>
        </w:rPr>
        <w:t>Figure 13: Shipping fee distribution and shipping fee by status</w:t>
      </w:r>
    </w:p>
    <w:p>
      <w:r>
        <w:rPr>
          <w:b w:val="0"/>
          <w:i w:val="0"/>
        </w:rPr>
        <w:t>Shipping fees are spread fairly evenly between 5.00 and 19.98 (mean 12.42), and the distribution is nearly the same for each shipping status. Fees do not appear to depend on order value or on return outcome.</w:t>
      </w:r>
    </w:p>
    <w:p>
      <w:pPr>
        <w:pStyle w:val="Heading1"/>
      </w:pPr>
      <w:r>
        <w:t>19. Time-Series Analysis</w:t>
      </w:r>
    </w:p>
    <w:p>
      <w:r>
        <w:rPr>
          <w:b w:val="0"/>
          <w:i w:val="0"/>
        </w:rPr>
        <w:t>Order dates were converted to datetime (format dd-mm-yyyy). The data cover 01 Jan 2023 to 03 Jan 2024. The final month (2024-01) contains data for only 1 day, so it is treated as a partial month and excluded from best/worst-month comparisons.</w:t>
      </w:r>
    </w:p>
    <w:p>
      <w:pPr>
        <w:keepNext/>
        <w:jc w:val="center"/>
      </w:pPr>
      <w:r>
        <w:drawing>
          <wp:inline xmlns:a="http://schemas.openxmlformats.org/drawingml/2006/main" xmlns:pic="http://schemas.openxmlformats.org/drawingml/2006/picture">
            <wp:extent cx="5669280" cy="2721254"/>
            <wp:docPr id="14" name="Picture 14"/>
            <wp:cNvGraphicFramePr>
              <a:graphicFrameLocks noChangeAspect="1"/>
            </wp:cNvGraphicFramePr>
            <a:graphic>
              <a:graphicData uri="http://schemas.openxmlformats.org/drawingml/2006/picture">
                <pic:pic>
                  <pic:nvPicPr>
                    <pic:cNvPr id="0" name="fig02_monthly_revenue.png"/>
                    <pic:cNvPicPr/>
                  </pic:nvPicPr>
                  <pic:blipFill>
                    <a:blip r:embed="rId24"/>
                    <a:stretch>
                      <a:fillRect/>
                    </a:stretch>
                  </pic:blipFill>
                  <pic:spPr>
                    <a:xfrm>
                      <a:off x="0" y="0"/>
                      <a:ext cx="5669280" cy="2721254"/>
                    </a:xfrm>
                    <a:prstGeom prst="rect"/>
                  </pic:spPr>
                </pic:pic>
              </a:graphicData>
            </a:graphic>
          </wp:inline>
        </w:drawing>
      </w:r>
    </w:p>
    <w:p>
      <w:pPr>
        <w:jc w:val="center"/>
      </w:pPr>
      <w:r>
        <w:rPr>
          <w:b/>
          <w:i/>
          <w:sz w:val="20"/>
        </w:rPr>
        <w:t>Figure 14: Monthly revenue (complete months)</w:t>
      </w:r>
    </w:p>
    <w:p>
      <w:r>
        <w:rPr>
          <w:b w:val="0"/>
          <w:i w:val="0"/>
        </w:rPr>
        <w:t>The best complete month is 2023-11 (147,150) and the lowest is 2023-03 (67,660). Revenue starts high in January 2023, falls sharply in February and March, recovers from April onward, and reaches its highest level in November. Monthly average revenue is 111,268.</w:t>
      </w:r>
    </w:p>
    <w:p>
      <w:pPr>
        <w:keepNext/>
        <w:jc w:val="center"/>
      </w:pPr>
      <w:r>
        <w:drawing>
          <wp:inline xmlns:a="http://schemas.openxmlformats.org/drawingml/2006/main" xmlns:pic="http://schemas.openxmlformats.org/drawingml/2006/picture">
            <wp:extent cx="5669280" cy="2570074"/>
            <wp:docPr id="15" name="Picture 15"/>
            <wp:cNvGraphicFramePr>
              <a:graphicFrameLocks noChangeAspect="1"/>
            </wp:cNvGraphicFramePr>
            <a:graphic>
              <a:graphicData uri="http://schemas.openxmlformats.org/drawingml/2006/picture">
                <pic:pic>
                  <pic:nvPicPr>
                    <pic:cNvPr id="0" name="fig03_orders_quantity.png"/>
                    <pic:cNvPicPr/>
                  </pic:nvPicPr>
                  <pic:blipFill>
                    <a:blip r:embed="rId25"/>
                    <a:stretch>
                      <a:fillRect/>
                    </a:stretch>
                  </pic:blipFill>
                  <pic:spPr>
                    <a:xfrm>
                      <a:off x="0" y="0"/>
                      <a:ext cx="5669280" cy="2570074"/>
                    </a:xfrm>
                    <a:prstGeom prst="rect"/>
                  </pic:spPr>
                </pic:pic>
              </a:graphicData>
            </a:graphic>
          </wp:inline>
        </w:drawing>
      </w:r>
    </w:p>
    <w:p>
      <w:pPr>
        <w:jc w:val="center"/>
      </w:pPr>
      <w:r>
        <w:rPr>
          <w:b/>
          <w:i/>
          <w:sz w:val="20"/>
        </w:rPr>
        <w:t>Figure 15: Monthly orders and units sold</w:t>
      </w:r>
    </w:p>
    <w:p>
      <w:r>
        <w:rPr>
          <w:b w:val="0"/>
          <w:i w:val="0"/>
        </w:rPr>
        <w:t>Orders and quantity follow similar patterns, with fewer fluctuations than revenue; revenue moves more because the mix of high-priced Electronics orders changes from month to month.</w:t>
      </w:r>
    </w:p>
    <w:p>
      <w:pPr>
        <w:keepNext/>
      </w:pPr>
      <w:r>
        <w:rPr>
          <w:b/>
          <w:i w:val="0"/>
          <w:sz w:val="20"/>
        </w:rPr>
        <w:t>Table 16: Monthly summary</w:t>
      </w:r>
    </w:p>
    <w:tbl>
      <w:tblPr>
        <w:tblStyle w:val="TableGrid"/>
        <w:tblW w:type="auto" w:w="0"/>
        <w:jc w:val="center"/>
        <w:tblLayout w:type="fixed"/>
        <w:tblLook w:firstColumn="1" w:firstRow="1" w:lastColumn="0" w:lastRow="0" w:noHBand="0" w:noVBand="1" w:val="04A0"/>
      </w:tblPr>
      <w:tblGrid>
        <w:gridCol w:w="1296"/>
        <w:gridCol w:w="1440"/>
        <w:gridCol w:w="1152"/>
        <w:gridCol w:w="1152"/>
        <w:gridCol w:w="1152"/>
        <w:gridCol w:w="1440"/>
        <w:gridCol w:w="1152"/>
      </w:tblGrid>
      <w:tr>
        <w:trPr>
          <w:tblHeader w:val="true"/>
        </w:trPr>
        <w:tc>
          <w:tcPr>
            <w:tcW w:type="dxa" w:w="1296"/>
            <w:shd w:val="clear" w:color="auto" w:fill="1F3864"/>
          </w:tcPr>
          <w:p>
            <w:r/>
            <w:r>
              <w:rPr>
                <w:b/>
                <w:color w:val="FFFFFF"/>
                <w:sz w:val="16"/>
              </w:rPr>
              <w:t>Month</w:t>
            </w:r>
          </w:p>
        </w:tc>
        <w:tc>
          <w:tcPr>
            <w:tcW w:type="dxa" w:w="1440"/>
            <w:shd w:val="clear" w:color="auto" w:fill="1F3864"/>
          </w:tcPr>
          <w:p>
            <w:r/>
            <w:r>
              <w:rPr>
                <w:b/>
                <w:color w:val="FFFFFF"/>
                <w:sz w:val="16"/>
              </w:rPr>
              <w:t>Revenue</w:t>
            </w:r>
          </w:p>
        </w:tc>
        <w:tc>
          <w:tcPr>
            <w:tcW w:type="dxa" w:w="1152"/>
            <w:shd w:val="clear" w:color="auto" w:fill="1F3864"/>
          </w:tcPr>
          <w:p>
            <w:r/>
            <w:r>
              <w:rPr>
                <w:b/>
                <w:color w:val="FFFFFF"/>
                <w:sz w:val="16"/>
              </w:rPr>
              <w:t>Orders</w:t>
            </w:r>
          </w:p>
        </w:tc>
        <w:tc>
          <w:tcPr>
            <w:tcW w:type="dxa" w:w="1152"/>
            <w:shd w:val="clear" w:color="auto" w:fill="1F3864"/>
          </w:tcPr>
          <w:p>
            <w:r/>
            <w:r>
              <w:rPr>
                <w:b/>
                <w:color w:val="FFFFFF"/>
                <w:sz w:val="16"/>
              </w:rPr>
              <w:t>Units</w:t>
            </w:r>
          </w:p>
        </w:tc>
        <w:tc>
          <w:tcPr>
            <w:tcW w:type="dxa" w:w="1152"/>
            <w:shd w:val="clear" w:color="auto" w:fill="1F3864"/>
          </w:tcPr>
          <w:p>
            <w:r/>
            <w:r>
              <w:rPr>
                <w:b/>
                <w:color w:val="FFFFFF"/>
                <w:sz w:val="16"/>
              </w:rPr>
              <w:t>AOV</w:t>
            </w:r>
          </w:p>
        </w:tc>
        <w:tc>
          <w:tcPr>
            <w:tcW w:type="dxa" w:w="1440"/>
            <w:shd w:val="clear" w:color="auto" w:fill="1F3864"/>
          </w:tcPr>
          <w:p>
            <w:r/>
            <w:r>
              <w:rPr>
                <w:b/>
                <w:color w:val="FFFFFF"/>
                <w:sz w:val="16"/>
              </w:rPr>
              <w:t>MoM change</w:t>
            </w:r>
          </w:p>
        </w:tc>
        <w:tc>
          <w:tcPr>
            <w:tcW w:type="dxa" w:w="1152"/>
            <w:shd w:val="clear" w:color="auto" w:fill="1F3864"/>
          </w:tcPr>
          <w:p>
            <w:r/>
            <w:r>
              <w:rPr>
                <w:b/>
                <w:color w:val="FFFFFF"/>
                <w:sz w:val="16"/>
              </w:rPr>
              <w:t>Note</w:t>
            </w:r>
          </w:p>
        </w:tc>
      </w:tr>
      <w:tr>
        <w:tc>
          <w:tcPr>
            <w:tcW w:type="dxa" w:w="1296"/>
          </w:tcPr>
          <w:p>
            <w:r/>
            <w:r>
              <w:rPr>
                <w:sz w:val="16"/>
              </w:rPr>
              <w:t>2023-01</w:t>
            </w:r>
          </w:p>
        </w:tc>
        <w:tc>
          <w:tcPr>
            <w:tcW w:type="dxa" w:w="1440"/>
          </w:tcPr>
          <w:p>
            <w:pPr>
              <w:jc w:val="right"/>
            </w:pPr>
            <w:r/>
            <w:r>
              <w:rPr>
                <w:sz w:val="16"/>
              </w:rPr>
              <w:t>141,360</w:t>
            </w:r>
          </w:p>
        </w:tc>
        <w:tc>
          <w:tcPr>
            <w:tcW w:type="dxa" w:w="1152"/>
          </w:tcPr>
          <w:p>
            <w:pPr>
              <w:jc w:val="right"/>
            </w:pPr>
            <w:r/>
            <w:r>
              <w:rPr>
                <w:sz w:val="16"/>
              </w:rPr>
              <w:t>94</w:t>
            </w:r>
          </w:p>
        </w:tc>
        <w:tc>
          <w:tcPr>
            <w:tcW w:type="dxa" w:w="1152"/>
          </w:tcPr>
          <w:p>
            <w:pPr>
              <w:jc w:val="right"/>
            </w:pPr>
            <w:r/>
            <w:r>
              <w:rPr>
                <w:sz w:val="16"/>
              </w:rPr>
              <w:t>298</w:t>
            </w:r>
          </w:p>
        </w:tc>
        <w:tc>
          <w:tcPr>
            <w:tcW w:type="dxa" w:w="1152"/>
          </w:tcPr>
          <w:p>
            <w:pPr>
              <w:jc w:val="right"/>
            </w:pPr>
            <w:r/>
            <w:r>
              <w:rPr>
                <w:sz w:val="16"/>
              </w:rPr>
              <w:t>1,504</w:t>
            </w:r>
          </w:p>
        </w:tc>
        <w:tc>
          <w:tcPr>
            <w:tcW w:type="dxa" w:w="1440"/>
          </w:tcPr>
          <w:p>
            <w:pPr>
              <w:jc w:val="right"/>
            </w:pPr>
            <w:r/>
            <w:r>
              <w:rPr>
                <w:sz w:val="16"/>
              </w:rPr>
              <w:t>-</w:t>
            </w:r>
          </w:p>
        </w:tc>
        <w:tc>
          <w:tcPr>
            <w:tcW w:type="dxa" w:w="1152"/>
          </w:tcPr>
          <w:p>
            <w:r/>
            <w:r>
              <w:rPr>
                <w:sz w:val="16"/>
              </w:rPr>
            </w:r>
          </w:p>
        </w:tc>
      </w:tr>
      <w:tr>
        <w:tc>
          <w:tcPr>
            <w:tcW w:type="dxa" w:w="1296"/>
          </w:tcPr>
          <w:p>
            <w:r/>
            <w:r>
              <w:rPr>
                <w:sz w:val="16"/>
              </w:rPr>
              <w:t>2023-02</w:t>
            </w:r>
          </w:p>
        </w:tc>
        <w:tc>
          <w:tcPr>
            <w:tcW w:type="dxa" w:w="1440"/>
          </w:tcPr>
          <w:p>
            <w:pPr>
              <w:jc w:val="right"/>
            </w:pPr>
            <w:r/>
            <w:r>
              <w:rPr>
                <w:sz w:val="16"/>
              </w:rPr>
              <w:t>78,910</w:t>
            </w:r>
          </w:p>
        </w:tc>
        <w:tc>
          <w:tcPr>
            <w:tcW w:type="dxa" w:w="1152"/>
          </w:tcPr>
          <w:p>
            <w:pPr>
              <w:jc w:val="right"/>
            </w:pPr>
            <w:r/>
            <w:r>
              <w:rPr>
                <w:sz w:val="16"/>
              </w:rPr>
              <w:t>74</w:t>
            </w:r>
          </w:p>
        </w:tc>
        <w:tc>
          <w:tcPr>
            <w:tcW w:type="dxa" w:w="1152"/>
          </w:tcPr>
          <w:p>
            <w:pPr>
              <w:jc w:val="right"/>
            </w:pPr>
            <w:r/>
            <w:r>
              <w:rPr>
                <w:sz w:val="16"/>
              </w:rPr>
              <w:t>201</w:t>
            </w:r>
          </w:p>
        </w:tc>
        <w:tc>
          <w:tcPr>
            <w:tcW w:type="dxa" w:w="1152"/>
          </w:tcPr>
          <w:p>
            <w:pPr>
              <w:jc w:val="right"/>
            </w:pPr>
            <w:r/>
            <w:r>
              <w:rPr>
                <w:sz w:val="16"/>
              </w:rPr>
              <w:t>1,066</w:t>
            </w:r>
          </w:p>
        </w:tc>
        <w:tc>
          <w:tcPr>
            <w:tcW w:type="dxa" w:w="1440"/>
          </w:tcPr>
          <w:p>
            <w:pPr>
              <w:jc w:val="right"/>
            </w:pPr>
            <w:r/>
            <w:r>
              <w:rPr>
                <w:sz w:val="16"/>
              </w:rPr>
              <w:t>-44.2%</w:t>
            </w:r>
          </w:p>
        </w:tc>
        <w:tc>
          <w:tcPr>
            <w:tcW w:type="dxa" w:w="1152"/>
          </w:tcPr>
          <w:p>
            <w:r/>
            <w:r>
              <w:rPr>
                <w:sz w:val="16"/>
              </w:rPr>
            </w:r>
          </w:p>
        </w:tc>
      </w:tr>
      <w:tr>
        <w:tc>
          <w:tcPr>
            <w:tcW w:type="dxa" w:w="1296"/>
          </w:tcPr>
          <w:p>
            <w:r/>
            <w:r>
              <w:rPr>
                <w:sz w:val="16"/>
              </w:rPr>
              <w:t>2023-03</w:t>
            </w:r>
          </w:p>
        </w:tc>
        <w:tc>
          <w:tcPr>
            <w:tcW w:type="dxa" w:w="1440"/>
          </w:tcPr>
          <w:p>
            <w:pPr>
              <w:jc w:val="right"/>
            </w:pPr>
            <w:r/>
            <w:r>
              <w:rPr>
                <w:sz w:val="16"/>
              </w:rPr>
              <w:t>67,660</w:t>
            </w:r>
          </w:p>
        </w:tc>
        <w:tc>
          <w:tcPr>
            <w:tcW w:type="dxa" w:w="1152"/>
          </w:tcPr>
          <w:p>
            <w:pPr>
              <w:jc w:val="right"/>
            </w:pPr>
            <w:r/>
            <w:r>
              <w:rPr>
                <w:sz w:val="16"/>
              </w:rPr>
              <w:t>67</w:t>
            </w:r>
          </w:p>
        </w:tc>
        <w:tc>
          <w:tcPr>
            <w:tcW w:type="dxa" w:w="1152"/>
          </w:tcPr>
          <w:p>
            <w:pPr>
              <w:jc w:val="right"/>
            </w:pPr>
            <w:r/>
            <w:r>
              <w:rPr>
                <w:sz w:val="16"/>
              </w:rPr>
              <w:t>210</w:t>
            </w:r>
          </w:p>
        </w:tc>
        <w:tc>
          <w:tcPr>
            <w:tcW w:type="dxa" w:w="1152"/>
          </w:tcPr>
          <w:p>
            <w:pPr>
              <w:jc w:val="right"/>
            </w:pPr>
            <w:r/>
            <w:r>
              <w:rPr>
                <w:sz w:val="16"/>
              </w:rPr>
              <w:t>1,010</w:t>
            </w:r>
          </w:p>
        </w:tc>
        <w:tc>
          <w:tcPr>
            <w:tcW w:type="dxa" w:w="1440"/>
          </w:tcPr>
          <w:p>
            <w:pPr>
              <w:jc w:val="right"/>
            </w:pPr>
            <w:r/>
            <w:r>
              <w:rPr>
                <w:sz w:val="16"/>
              </w:rPr>
              <w:t>-14.3%</w:t>
            </w:r>
          </w:p>
        </w:tc>
        <w:tc>
          <w:tcPr>
            <w:tcW w:type="dxa" w:w="1152"/>
          </w:tcPr>
          <w:p>
            <w:r/>
            <w:r>
              <w:rPr>
                <w:sz w:val="16"/>
              </w:rPr>
            </w:r>
          </w:p>
        </w:tc>
      </w:tr>
      <w:tr>
        <w:tc>
          <w:tcPr>
            <w:tcW w:type="dxa" w:w="1296"/>
          </w:tcPr>
          <w:p>
            <w:r/>
            <w:r>
              <w:rPr>
                <w:sz w:val="16"/>
              </w:rPr>
              <w:t>2023-04</w:t>
            </w:r>
          </w:p>
        </w:tc>
        <w:tc>
          <w:tcPr>
            <w:tcW w:type="dxa" w:w="1440"/>
          </w:tcPr>
          <w:p>
            <w:pPr>
              <w:jc w:val="right"/>
            </w:pPr>
            <w:r/>
            <w:r>
              <w:rPr>
                <w:sz w:val="16"/>
              </w:rPr>
              <w:t>87,840</w:t>
            </w:r>
          </w:p>
        </w:tc>
        <w:tc>
          <w:tcPr>
            <w:tcW w:type="dxa" w:w="1152"/>
          </w:tcPr>
          <w:p>
            <w:pPr>
              <w:jc w:val="right"/>
            </w:pPr>
            <w:r/>
            <w:r>
              <w:rPr>
                <w:sz w:val="16"/>
              </w:rPr>
              <w:t>66</w:t>
            </w:r>
          </w:p>
        </w:tc>
        <w:tc>
          <w:tcPr>
            <w:tcW w:type="dxa" w:w="1152"/>
          </w:tcPr>
          <w:p>
            <w:pPr>
              <w:jc w:val="right"/>
            </w:pPr>
            <w:r/>
            <w:r>
              <w:rPr>
                <w:sz w:val="16"/>
              </w:rPr>
              <w:t>189</w:t>
            </w:r>
          </w:p>
        </w:tc>
        <w:tc>
          <w:tcPr>
            <w:tcW w:type="dxa" w:w="1152"/>
          </w:tcPr>
          <w:p>
            <w:pPr>
              <w:jc w:val="right"/>
            </w:pPr>
            <w:r/>
            <w:r>
              <w:rPr>
                <w:sz w:val="16"/>
              </w:rPr>
              <w:t>1,331</w:t>
            </w:r>
          </w:p>
        </w:tc>
        <w:tc>
          <w:tcPr>
            <w:tcW w:type="dxa" w:w="1440"/>
          </w:tcPr>
          <w:p>
            <w:pPr>
              <w:jc w:val="right"/>
            </w:pPr>
            <w:r/>
            <w:r>
              <w:rPr>
                <w:sz w:val="16"/>
              </w:rPr>
              <w:t>29.8%</w:t>
            </w:r>
          </w:p>
        </w:tc>
        <w:tc>
          <w:tcPr>
            <w:tcW w:type="dxa" w:w="1152"/>
          </w:tcPr>
          <w:p>
            <w:r/>
            <w:r>
              <w:rPr>
                <w:sz w:val="16"/>
              </w:rPr>
            </w:r>
          </w:p>
        </w:tc>
      </w:tr>
      <w:tr>
        <w:tc>
          <w:tcPr>
            <w:tcW w:type="dxa" w:w="1296"/>
          </w:tcPr>
          <w:p>
            <w:r/>
            <w:r>
              <w:rPr>
                <w:sz w:val="16"/>
              </w:rPr>
              <w:t>2023-05</w:t>
            </w:r>
          </w:p>
        </w:tc>
        <w:tc>
          <w:tcPr>
            <w:tcW w:type="dxa" w:w="1440"/>
          </w:tcPr>
          <w:p>
            <w:pPr>
              <w:jc w:val="right"/>
            </w:pPr>
            <w:r/>
            <w:r>
              <w:rPr>
                <w:sz w:val="16"/>
              </w:rPr>
              <w:t>120,080</w:t>
            </w:r>
          </w:p>
        </w:tc>
        <w:tc>
          <w:tcPr>
            <w:tcW w:type="dxa" w:w="1152"/>
          </w:tcPr>
          <w:p>
            <w:pPr>
              <w:jc w:val="right"/>
            </w:pPr>
            <w:r/>
            <w:r>
              <w:rPr>
                <w:sz w:val="16"/>
              </w:rPr>
              <w:t>86</w:t>
            </w:r>
          </w:p>
        </w:tc>
        <w:tc>
          <w:tcPr>
            <w:tcW w:type="dxa" w:w="1152"/>
          </w:tcPr>
          <w:p>
            <w:pPr>
              <w:jc w:val="right"/>
            </w:pPr>
            <w:r/>
            <w:r>
              <w:rPr>
                <w:sz w:val="16"/>
              </w:rPr>
              <w:t>267</w:t>
            </w:r>
          </w:p>
        </w:tc>
        <w:tc>
          <w:tcPr>
            <w:tcW w:type="dxa" w:w="1152"/>
          </w:tcPr>
          <w:p>
            <w:pPr>
              <w:jc w:val="right"/>
            </w:pPr>
            <w:r/>
            <w:r>
              <w:rPr>
                <w:sz w:val="16"/>
              </w:rPr>
              <w:t>1,396</w:t>
            </w:r>
          </w:p>
        </w:tc>
        <w:tc>
          <w:tcPr>
            <w:tcW w:type="dxa" w:w="1440"/>
          </w:tcPr>
          <w:p>
            <w:pPr>
              <w:jc w:val="right"/>
            </w:pPr>
            <w:r/>
            <w:r>
              <w:rPr>
                <w:sz w:val="16"/>
              </w:rPr>
              <w:t>36.7%</w:t>
            </w:r>
          </w:p>
        </w:tc>
        <w:tc>
          <w:tcPr>
            <w:tcW w:type="dxa" w:w="1152"/>
          </w:tcPr>
          <w:p>
            <w:r/>
            <w:r>
              <w:rPr>
                <w:sz w:val="16"/>
              </w:rPr>
            </w:r>
          </w:p>
        </w:tc>
      </w:tr>
      <w:tr>
        <w:tc>
          <w:tcPr>
            <w:tcW w:type="dxa" w:w="1296"/>
          </w:tcPr>
          <w:p>
            <w:r/>
            <w:r>
              <w:rPr>
                <w:sz w:val="16"/>
              </w:rPr>
              <w:t>2023-06</w:t>
            </w:r>
          </w:p>
        </w:tc>
        <w:tc>
          <w:tcPr>
            <w:tcW w:type="dxa" w:w="1440"/>
          </w:tcPr>
          <w:p>
            <w:pPr>
              <w:jc w:val="right"/>
            </w:pPr>
            <w:r/>
            <w:r>
              <w:rPr>
                <w:sz w:val="16"/>
              </w:rPr>
              <w:t>129,450</w:t>
            </w:r>
          </w:p>
        </w:tc>
        <w:tc>
          <w:tcPr>
            <w:tcW w:type="dxa" w:w="1152"/>
          </w:tcPr>
          <w:p>
            <w:pPr>
              <w:jc w:val="right"/>
            </w:pPr>
            <w:r/>
            <w:r>
              <w:rPr>
                <w:sz w:val="16"/>
              </w:rPr>
              <w:t>90</w:t>
            </w:r>
          </w:p>
        </w:tc>
        <w:tc>
          <w:tcPr>
            <w:tcW w:type="dxa" w:w="1152"/>
          </w:tcPr>
          <w:p>
            <w:pPr>
              <w:jc w:val="right"/>
            </w:pPr>
            <w:r/>
            <w:r>
              <w:rPr>
                <w:sz w:val="16"/>
              </w:rPr>
              <w:t>274</w:t>
            </w:r>
          </w:p>
        </w:tc>
        <w:tc>
          <w:tcPr>
            <w:tcW w:type="dxa" w:w="1152"/>
          </w:tcPr>
          <w:p>
            <w:pPr>
              <w:jc w:val="right"/>
            </w:pPr>
            <w:r/>
            <w:r>
              <w:rPr>
                <w:sz w:val="16"/>
              </w:rPr>
              <w:t>1,438</w:t>
            </w:r>
          </w:p>
        </w:tc>
        <w:tc>
          <w:tcPr>
            <w:tcW w:type="dxa" w:w="1440"/>
          </w:tcPr>
          <w:p>
            <w:pPr>
              <w:jc w:val="right"/>
            </w:pPr>
            <w:r/>
            <w:r>
              <w:rPr>
                <w:sz w:val="16"/>
              </w:rPr>
              <w:t>7.8%</w:t>
            </w:r>
          </w:p>
        </w:tc>
        <w:tc>
          <w:tcPr>
            <w:tcW w:type="dxa" w:w="1152"/>
          </w:tcPr>
          <w:p>
            <w:r/>
            <w:r>
              <w:rPr>
                <w:sz w:val="16"/>
              </w:rPr>
            </w:r>
          </w:p>
        </w:tc>
      </w:tr>
      <w:tr>
        <w:tc>
          <w:tcPr>
            <w:tcW w:type="dxa" w:w="1296"/>
          </w:tcPr>
          <w:p>
            <w:r/>
            <w:r>
              <w:rPr>
                <w:sz w:val="16"/>
              </w:rPr>
              <w:t>2023-07</w:t>
            </w:r>
          </w:p>
        </w:tc>
        <w:tc>
          <w:tcPr>
            <w:tcW w:type="dxa" w:w="1440"/>
          </w:tcPr>
          <w:p>
            <w:pPr>
              <w:jc w:val="right"/>
            </w:pPr>
            <w:r/>
            <w:r>
              <w:rPr>
                <w:sz w:val="16"/>
              </w:rPr>
              <w:t>103,160</w:t>
            </w:r>
          </w:p>
        </w:tc>
        <w:tc>
          <w:tcPr>
            <w:tcW w:type="dxa" w:w="1152"/>
          </w:tcPr>
          <w:p>
            <w:pPr>
              <w:jc w:val="right"/>
            </w:pPr>
            <w:r/>
            <w:r>
              <w:rPr>
                <w:sz w:val="16"/>
              </w:rPr>
              <w:t>79</w:t>
            </w:r>
          </w:p>
        </w:tc>
        <w:tc>
          <w:tcPr>
            <w:tcW w:type="dxa" w:w="1152"/>
          </w:tcPr>
          <w:p>
            <w:pPr>
              <w:jc w:val="right"/>
            </w:pPr>
            <w:r/>
            <w:r>
              <w:rPr>
                <w:sz w:val="16"/>
              </w:rPr>
              <w:t>226</w:t>
            </w:r>
          </w:p>
        </w:tc>
        <w:tc>
          <w:tcPr>
            <w:tcW w:type="dxa" w:w="1152"/>
          </w:tcPr>
          <w:p>
            <w:pPr>
              <w:jc w:val="right"/>
            </w:pPr>
            <w:r/>
            <w:r>
              <w:rPr>
                <w:sz w:val="16"/>
              </w:rPr>
              <w:t>1,306</w:t>
            </w:r>
          </w:p>
        </w:tc>
        <w:tc>
          <w:tcPr>
            <w:tcW w:type="dxa" w:w="1440"/>
          </w:tcPr>
          <w:p>
            <w:pPr>
              <w:jc w:val="right"/>
            </w:pPr>
            <w:r/>
            <w:r>
              <w:rPr>
                <w:sz w:val="16"/>
              </w:rPr>
              <w:t>-20.3%</w:t>
            </w:r>
          </w:p>
        </w:tc>
        <w:tc>
          <w:tcPr>
            <w:tcW w:type="dxa" w:w="1152"/>
          </w:tcPr>
          <w:p>
            <w:r/>
            <w:r>
              <w:rPr>
                <w:sz w:val="16"/>
              </w:rPr>
            </w:r>
          </w:p>
        </w:tc>
      </w:tr>
      <w:tr>
        <w:tc>
          <w:tcPr>
            <w:tcW w:type="dxa" w:w="1296"/>
          </w:tcPr>
          <w:p>
            <w:r/>
            <w:r>
              <w:rPr>
                <w:sz w:val="16"/>
              </w:rPr>
              <w:t>2023-08</w:t>
            </w:r>
          </w:p>
        </w:tc>
        <w:tc>
          <w:tcPr>
            <w:tcW w:type="dxa" w:w="1440"/>
          </w:tcPr>
          <w:p>
            <w:pPr>
              <w:jc w:val="right"/>
            </w:pPr>
            <w:r/>
            <w:r>
              <w:rPr>
                <w:sz w:val="16"/>
              </w:rPr>
              <w:t>108,050</w:t>
            </w:r>
          </w:p>
        </w:tc>
        <w:tc>
          <w:tcPr>
            <w:tcW w:type="dxa" w:w="1152"/>
          </w:tcPr>
          <w:p>
            <w:pPr>
              <w:jc w:val="right"/>
            </w:pPr>
            <w:r/>
            <w:r>
              <w:rPr>
                <w:sz w:val="16"/>
              </w:rPr>
              <w:t>84</w:t>
            </w:r>
          </w:p>
        </w:tc>
        <w:tc>
          <w:tcPr>
            <w:tcW w:type="dxa" w:w="1152"/>
          </w:tcPr>
          <w:p>
            <w:pPr>
              <w:jc w:val="right"/>
            </w:pPr>
            <w:r/>
            <w:r>
              <w:rPr>
                <w:sz w:val="16"/>
              </w:rPr>
              <w:t>239</w:t>
            </w:r>
          </w:p>
        </w:tc>
        <w:tc>
          <w:tcPr>
            <w:tcW w:type="dxa" w:w="1152"/>
          </w:tcPr>
          <w:p>
            <w:pPr>
              <w:jc w:val="right"/>
            </w:pPr>
            <w:r/>
            <w:r>
              <w:rPr>
                <w:sz w:val="16"/>
              </w:rPr>
              <w:t>1,286</w:t>
            </w:r>
          </w:p>
        </w:tc>
        <w:tc>
          <w:tcPr>
            <w:tcW w:type="dxa" w:w="1440"/>
          </w:tcPr>
          <w:p>
            <w:pPr>
              <w:jc w:val="right"/>
            </w:pPr>
            <w:r/>
            <w:r>
              <w:rPr>
                <w:sz w:val="16"/>
              </w:rPr>
              <w:t>4.7%</w:t>
            </w:r>
          </w:p>
        </w:tc>
        <w:tc>
          <w:tcPr>
            <w:tcW w:type="dxa" w:w="1152"/>
          </w:tcPr>
          <w:p>
            <w:r/>
            <w:r>
              <w:rPr>
                <w:sz w:val="16"/>
              </w:rPr>
            </w:r>
          </w:p>
        </w:tc>
      </w:tr>
      <w:tr>
        <w:tc>
          <w:tcPr>
            <w:tcW w:type="dxa" w:w="1296"/>
          </w:tcPr>
          <w:p>
            <w:r/>
            <w:r>
              <w:rPr>
                <w:sz w:val="16"/>
              </w:rPr>
              <w:t>2023-09</w:t>
            </w:r>
          </w:p>
        </w:tc>
        <w:tc>
          <w:tcPr>
            <w:tcW w:type="dxa" w:w="1440"/>
          </w:tcPr>
          <w:p>
            <w:pPr>
              <w:jc w:val="right"/>
            </w:pPr>
            <w:r/>
            <w:r>
              <w:rPr>
                <w:sz w:val="16"/>
              </w:rPr>
              <w:t>119,490</w:t>
            </w:r>
          </w:p>
        </w:tc>
        <w:tc>
          <w:tcPr>
            <w:tcW w:type="dxa" w:w="1152"/>
          </w:tcPr>
          <w:p>
            <w:pPr>
              <w:jc w:val="right"/>
            </w:pPr>
            <w:r/>
            <w:r>
              <w:rPr>
                <w:sz w:val="16"/>
              </w:rPr>
              <w:t>81</w:t>
            </w:r>
          </w:p>
        </w:tc>
        <w:tc>
          <w:tcPr>
            <w:tcW w:type="dxa" w:w="1152"/>
          </w:tcPr>
          <w:p>
            <w:pPr>
              <w:jc w:val="right"/>
            </w:pPr>
            <w:r/>
            <w:r>
              <w:rPr>
                <w:sz w:val="16"/>
              </w:rPr>
              <w:t>240</w:t>
            </w:r>
          </w:p>
        </w:tc>
        <w:tc>
          <w:tcPr>
            <w:tcW w:type="dxa" w:w="1152"/>
          </w:tcPr>
          <w:p>
            <w:pPr>
              <w:jc w:val="right"/>
            </w:pPr>
            <w:r/>
            <w:r>
              <w:rPr>
                <w:sz w:val="16"/>
              </w:rPr>
              <w:t>1,475</w:t>
            </w:r>
          </w:p>
        </w:tc>
        <w:tc>
          <w:tcPr>
            <w:tcW w:type="dxa" w:w="1440"/>
          </w:tcPr>
          <w:p>
            <w:pPr>
              <w:jc w:val="right"/>
            </w:pPr>
            <w:r/>
            <w:r>
              <w:rPr>
                <w:sz w:val="16"/>
              </w:rPr>
              <w:t>10.6%</w:t>
            </w:r>
          </w:p>
        </w:tc>
        <w:tc>
          <w:tcPr>
            <w:tcW w:type="dxa" w:w="1152"/>
          </w:tcPr>
          <w:p>
            <w:r/>
            <w:r>
              <w:rPr>
                <w:sz w:val="16"/>
              </w:rPr>
            </w:r>
          </w:p>
        </w:tc>
      </w:tr>
      <w:tr>
        <w:tc>
          <w:tcPr>
            <w:tcW w:type="dxa" w:w="1296"/>
          </w:tcPr>
          <w:p>
            <w:r/>
            <w:r>
              <w:rPr>
                <w:sz w:val="16"/>
              </w:rPr>
              <w:t>2023-10</w:t>
            </w:r>
          </w:p>
        </w:tc>
        <w:tc>
          <w:tcPr>
            <w:tcW w:type="dxa" w:w="1440"/>
          </w:tcPr>
          <w:p>
            <w:pPr>
              <w:jc w:val="right"/>
            </w:pPr>
            <w:r/>
            <w:r>
              <w:rPr>
                <w:sz w:val="16"/>
              </w:rPr>
              <w:t>118,240</w:t>
            </w:r>
          </w:p>
        </w:tc>
        <w:tc>
          <w:tcPr>
            <w:tcW w:type="dxa" w:w="1152"/>
          </w:tcPr>
          <w:p>
            <w:pPr>
              <w:jc w:val="right"/>
            </w:pPr>
            <w:r/>
            <w:r>
              <w:rPr>
                <w:sz w:val="16"/>
              </w:rPr>
              <w:t>91</w:t>
            </w:r>
          </w:p>
        </w:tc>
        <w:tc>
          <w:tcPr>
            <w:tcW w:type="dxa" w:w="1152"/>
          </w:tcPr>
          <w:p>
            <w:pPr>
              <w:jc w:val="right"/>
            </w:pPr>
            <w:r/>
            <w:r>
              <w:rPr>
                <w:sz w:val="16"/>
              </w:rPr>
              <w:t>276</w:t>
            </w:r>
          </w:p>
        </w:tc>
        <w:tc>
          <w:tcPr>
            <w:tcW w:type="dxa" w:w="1152"/>
          </w:tcPr>
          <w:p>
            <w:pPr>
              <w:jc w:val="right"/>
            </w:pPr>
            <w:r/>
            <w:r>
              <w:rPr>
                <w:sz w:val="16"/>
              </w:rPr>
              <w:t>1,299</w:t>
            </w:r>
          </w:p>
        </w:tc>
        <w:tc>
          <w:tcPr>
            <w:tcW w:type="dxa" w:w="1440"/>
          </w:tcPr>
          <w:p>
            <w:pPr>
              <w:jc w:val="right"/>
            </w:pPr>
            <w:r/>
            <w:r>
              <w:rPr>
                <w:sz w:val="16"/>
              </w:rPr>
              <w:t>-1.0%</w:t>
            </w:r>
          </w:p>
        </w:tc>
        <w:tc>
          <w:tcPr>
            <w:tcW w:type="dxa" w:w="1152"/>
          </w:tcPr>
          <w:p>
            <w:r/>
            <w:r>
              <w:rPr>
                <w:sz w:val="16"/>
              </w:rPr>
            </w:r>
          </w:p>
        </w:tc>
      </w:tr>
      <w:tr>
        <w:tc>
          <w:tcPr>
            <w:tcW w:type="dxa" w:w="1296"/>
          </w:tcPr>
          <w:p>
            <w:r/>
            <w:r>
              <w:rPr>
                <w:sz w:val="16"/>
              </w:rPr>
              <w:t>2023-11</w:t>
            </w:r>
          </w:p>
        </w:tc>
        <w:tc>
          <w:tcPr>
            <w:tcW w:type="dxa" w:w="1440"/>
          </w:tcPr>
          <w:p>
            <w:pPr>
              <w:jc w:val="right"/>
            </w:pPr>
            <w:r/>
            <w:r>
              <w:rPr>
                <w:sz w:val="16"/>
              </w:rPr>
              <w:t>147,150</w:t>
            </w:r>
          </w:p>
        </w:tc>
        <w:tc>
          <w:tcPr>
            <w:tcW w:type="dxa" w:w="1152"/>
          </w:tcPr>
          <w:p>
            <w:pPr>
              <w:jc w:val="right"/>
            </w:pPr>
            <w:r/>
            <w:r>
              <w:rPr>
                <w:sz w:val="16"/>
              </w:rPr>
              <w:t>88</w:t>
            </w:r>
          </w:p>
        </w:tc>
        <w:tc>
          <w:tcPr>
            <w:tcW w:type="dxa" w:w="1152"/>
          </w:tcPr>
          <w:p>
            <w:pPr>
              <w:jc w:val="right"/>
            </w:pPr>
            <w:r/>
            <w:r>
              <w:rPr>
                <w:sz w:val="16"/>
              </w:rPr>
              <w:t>283</w:t>
            </w:r>
          </w:p>
        </w:tc>
        <w:tc>
          <w:tcPr>
            <w:tcW w:type="dxa" w:w="1152"/>
          </w:tcPr>
          <w:p>
            <w:pPr>
              <w:jc w:val="right"/>
            </w:pPr>
            <w:r/>
            <w:r>
              <w:rPr>
                <w:sz w:val="16"/>
              </w:rPr>
              <w:t>1,672</w:t>
            </w:r>
          </w:p>
        </w:tc>
        <w:tc>
          <w:tcPr>
            <w:tcW w:type="dxa" w:w="1440"/>
          </w:tcPr>
          <w:p>
            <w:pPr>
              <w:jc w:val="right"/>
            </w:pPr>
            <w:r/>
            <w:r>
              <w:rPr>
                <w:sz w:val="16"/>
              </w:rPr>
              <w:t>24.5%</w:t>
            </w:r>
          </w:p>
        </w:tc>
        <w:tc>
          <w:tcPr>
            <w:tcW w:type="dxa" w:w="1152"/>
          </w:tcPr>
          <w:p>
            <w:r/>
            <w:r>
              <w:rPr>
                <w:sz w:val="16"/>
              </w:rPr>
            </w:r>
          </w:p>
        </w:tc>
      </w:tr>
      <w:tr>
        <w:tc>
          <w:tcPr>
            <w:tcW w:type="dxa" w:w="1296"/>
          </w:tcPr>
          <w:p>
            <w:r/>
            <w:r>
              <w:rPr>
                <w:sz w:val="16"/>
              </w:rPr>
              <w:t>2023-12</w:t>
            </w:r>
          </w:p>
        </w:tc>
        <w:tc>
          <w:tcPr>
            <w:tcW w:type="dxa" w:w="1440"/>
          </w:tcPr>
          <w:p>
            <w:pPr>
              <w:jc w:val="right"/>
            </w:pPr>
            <w:r/>
            <w:r>
              <w:rPr>
                <w:sz w:val="16"/>
              </w:rPr>
              <w:t>113,830</w:t>
            </w:r>
          </w:p>
        </w:tc>
        <w:tc>
          <w:tcPr>
            <w:tcW w:type="dxa" w:w="1152"/>
          </w:tcPr>
          <w:p>
            <w:pPr>
              <w:jc w:val="right"/>
            </w:pPr>
            <w:r/>
            <w:r>
              <w:rPr>
                <w:sz w:val="16"/>
              </w:rPr>
              <w:t>80</w:t>
            </w:r>
          </w:p>
        </w:tc>
        <w:tc>
          <w:tcPr>
            <w:tcW w:type="dxa" w:w="1152"/>
          </w:tcPr>
          <w:p>
            <w:pPr>
              <w:jc w:val="right"/>
            </w:pPr>
            <w:r/>
            <w:r>
              <w:rPr>
                <w:sz w:val="16"/>
              </w:rPr>
              <w:t>245</w:t>
            </w:r>
          </w:p>
        </w:tc>
        <w:tc>
          <w:tcPr>
            <w:tcW w:type="dxa" w:w="1152"/>
          </w:tcPr>
          <w:p>
            <w:pPr>
              <w:jc w:val="right"/>
            </w:pPr>
            <w:r/>
            <w:r>
              <w:rPr>
                <w:sz w:val="16"/>
              </w:rPr>
              <w:t>1,423</w:t>
            </w:r>
          </w:p>
        </w:tc>
        <w:tc>
          <w:tcPr>
            <w:tcW w:type="dxa" w:w="1440"/>
          </w:tcPr>
          <w:p>
            <w:pPr>
              <w:jc w:val="right"/>
            </w:pPr>
            <w:r/>
            <w:r>
              <w:rPr>
                <w:sz w:val="16"/>
              </w:rPr>
              <w:t>-22.6%</w:t>
            </w:r>
          </w:p>
        </w:tc>
        <w:tc>
          <w:tcPr>
            <w:tcW w:type="dxa" w:w="1152"/>
          </w:tcPr>
          <w:p>
            <w:r/>
            <w:r>
              <w:rPr>
                <w:sz w:val="16"/>
              </w:rPr>
            </w:r>
          </w:p>
        </w:tc>
      </w:tr>
      <w:tr>
        <w:tc>
          <w:tcPr>
            <w:tcW w:type="dxa" w:w="1296"/>
          </w:tcPr>
          <w:p>
            <w:r/>
            <w:r>
              <w:rPr>
                <w:sz w:val="16"/>
              </w:rPr>
              <w:t>2024-01</w:t>
            </w:r>
          </w:p>
        </w:tc>
        <w:tc>
          <w:tcPr>
            <w:tcW w:type="dxa" w:w="1440"/>
          </w:tcPr>
          <w:p>
            <w:pPr>
              <w:jc w:val="right"/>
            </w:pPr>
            <w:r/>
            <w:r>
              <w:rPr>
                <w:sz w:val="16"/>
              </w:rPr>
              <w:t>11,380</w:t>
            </w:r>
          </w:p>
        </w:tc>
        <w:tc>
          <w:tcPr>
            <w:tcW w:type="dxa" w:w="1152"/>
          </w:tcPr>
          <w:p>
            <w:pPr>
              <w:jc w:val="right"/>
            </w:pPr>
            <w:r/>
            <w:r>
              <w:rPr>
                <w:sz w:val="16"/>
              </w:rPr>
              <w:t>20</w:t>
            </w:r>
          </w:p>
        </w:tc>
        <w:tc>
          <w:tcPr>
            <w:tcW w:type="dxa" w:w="1152"/>
          </w:tcPr>
          <w:p>
            <w:pPr>
              <w:jc w:val="right"/>
            </w:pPr>
            <w:r/>
            <w:r>
              <w:rPr>
                <w:sz w:val="16"/>
              </w:rPr>
              <w:t>60</w:t>
            </w:r>
          </w:p>
        </w:tc>
        <w:tc>
          <w:tcPr>
            <w:tcW w:type="dxa" w:w="1152"/>
          </w:tcPr>
          <w:p>
            <w:pPr>
              <w:jc w:val="right"/>
            </w:pPr>
            <w:r/>
            <w:r>
              <w:rPr>
                <w:sz w:val="16"/>
              </w:rPr>
              <w:t>569</w:t>
            </w:r>
          </w:p>
        </w:tc>
        <w:tc>
          <w:tcPr>
            <w:tcW w:type="dxa" w:w="1440"/>
          </w:tcPr>
          <w:p>
            <w:pPr>
              <w:jc w:val="right"/>
            </w:pPr>
            <w:r/>
            <w:r>
              <w:rPr>
                <w:sz w:val="16"/>
              </w:rPr>
              <w:t>-90.0%</w:t>
            </w:r>
          </w:p>
        </w:tc>
        <w:tc>
          <w:tcPr>
            <w:tcW w:type="dxa" w:w="1152"/>
          </w:tcPr>
          <w:p>
            <w:r/>
            <w:r>
              <w:rPr>
                <w:sz w:val="16"/>
              </w:rPr>
              <w:t>Partial</w:t>
            </w:r>
          </w:p>
        </w:tc>
      </w:tr>
    </w:tbl>
    <w:p>
      <w:pPr>
        <w:spacing w:after="40"/>
      </w:pPr>
    </w:p>
    <w:p>
      <w:r>
        <w:rPr>
          <w:b w:val="0"/>
          <w:i w:val="0"/>
        </w:rPr>
        <w:t>Because the data span only one full year, seasonality cannot be confirmed; the November high and the February-March low could be seasonal or random.</w:t>
      </w:r>
    </w:p>
    <w:p>
      <w:pPr>
        <w:pStyle w:val="Heading1"/>
      </w:pPr>
      <w:r>
        <w:t>20. Dashboard Design</w:t>
      </w:r>
    </w:p>
    <w:p>
      <w:r>
        <w:rPr>
          <w:b w:val="0"/>
          <w:i w:val="0"/>
        </w:rPr>
        <w:t>The Streamlit dashboard (app.py) uses a sidebar for navigation and filters and a main area for KPI cards and charts. Filters (Region, Gender, Category, Product, Shipping Status, Age Group and Date Range) are applied to the cleaned data before any calculation, so every KPI, chart, table and insight reflects the selection. The filtered data can be downloaded as CSV.</w:t>
      </w:r>
    </w:p>
    <w:p>
      <w:pPr>
        <w:keepNext/>
      </w:pPr>
      <w:r>
        <w:rPr>
          <w:b/>
          <w:i w:val="0"/>
          <w:sz w:val="20"/>
        </w:rPr>
        <w:t>Table 17: Dashboard pages</w:t>
      </w:r>
    </w:p>
    <w:tbl>
      <w:tblPr>
        <w:tblStyle w:val="TableGrid"/>
        <w:tblW w:type="auto" w:w="0"/>
        <w:jc w:val="center"/>
        <w:tblLayout w:type="fixed"/>
        <w:tblLook w:firstColumn="1" w:firstRow="1" w:lastColumn="0" w:lastRow="0" w:noHBand="0" w:noVBand="1" w:val="04A0"/>
      </w:tblPr>
      <w:tblGrid>
        <w:gridCol w:w="2448"/>
        <w:gridCol w:w="6768"/>
      </w:tblGrid>
      <w:tr>
        <w:trPr>
          <w:tblHeader w:val="true"/>
        </w:trPr>
        <w:tc>
          <w:tcPr>
            <w:tcW w:type="dxa" w:w="2448"/>
            <w:shd w:val="clear" w:color="auto" w:fill="1F3864"/>
          </w:tcPr>
          <w:p>
            <w:r/>
            <w:r>
              <w:rPr>
                <w:b/>
                <w:color w:val="FFFFFF"/>
                <w:sz w:val="18"/>
              </w:rPr>
              <w:t>Page</w:t>
            </w:r>
          </w:p>
        </w:tc>
        <w:tc>
          <w:tcPr>
            <w:tcW w:type="dxa" w:w="6768"/>
            <w:shd w:val="clear" w:color="auto" w:fill="1F3864"/>
          </w:tcPr>
          <w:p>
            <w:r/>
            <w:r>
              <w:rPr>
                <w:b/>
                <w:color w:val="FFFFFF"/>
                <w:sz w:val="18"/>
              </w:rPr>
              <w:t>Content</w:t>
            </w:r>
          </w:p>
        </w:tc>
      </w:tr>
      <w:tr>
        <w:tc>
          <w:tcPr>
            <w:tcW w:type="dxa" w:w="2448"/>
          </w:tcPr>
          <w:p>
            <w:r/>
            <w:r>
              <w:rPr>
                <w:sz w:val="18"/>
              </w:rPr>
              <w:t>1. Executive Overview</w:t>
            </w:r>
          </w:p>
        </w:tc>
        <w:tc>
          <w:tcPr>
            <w:tcW w:type="dxa" w:w="6768"/>
          </w:tcPr>
          <w:p>
            <w:r/>
            <w:r>
              <w:rPr>
                <w:sz w:val="18"/>
              </w:rPr>
              <w:t>Three rows of KPI cards, monthly revenue trend, revenue by category and region, shipping status donut</w:t>
            </w:r>
          </w:p>
        </w:tc>
      </w:tr>
      <w:tr>
        <w:tc>
          <w:tcPr>
            <w:tcW w:type="dxa" w:w="2448"/>
          </w:tcPr>
          <w:p>
            <w:r/>
            <w:r>
              <w:rPr>
                <w:sz w:val="18"/>
              </w:rPr>
              <w:t>2. Sales Analysis</w:t>
            </w:r>
          </w:p>
        </w:tc>
        <w:tc>
          <w:tcPr>
            <w:tcW w:type="dxa" w:w="6768"/>
          </w:tcPr>
          <w:p>
            <w:r/>
            <w:r>
              <w:rPr>
                <w:sz w:val="18"/>
              </w:rPr>
              <w:t>Selectable monthly metric, best/lowest month, daily revenue with 7-day average, product and category charts, quantity histogram, month x category heatmap</w:t>
            </w:r>
          </w:p>
        </w:tc>
      </w:tr>
      <w:tr>
        <w:tc>
          <w:tcPr>
            <w:tcW w:type="dxa" w:w="2448"/>
          </w:tcPr>
          <w:p>
            <w:r/>
            <w:r>
              <w:rPr>
                <w:sz w:val="18"/>
              </w:rPr>
              <w:t>3. Customer Analysis</w:t>
            </w:r>
          </w:p>
        </w:tc>
        <w:tc>
          <w:tcPr>
            <w:tcW w:type="dxa" w:w="6768"/>
          </w:tcPr>
          <w:p>
            <w:r/>
            <w:r>
              <w:rPr>
                <w:sz w:val="18"/>
              </w:rPr>
              <w:t>Customer KPIs, age histogram, revenue by age group and gender, purchase frequency, Pareto curve, segments, top-10 customers</w:t>
            </w:r>
          </w:p>
        </w:tc>
      </w:tr>
      <w:tr>
        <w:tc>
          <w:tcPr>
            <w:tcW w:type="dxa" w:w="2448"/>
          </w:tcPr>
          <w:p>
            <w:r/>
            <w:r>
              <w:rPr>
                <w:sz w:val="18"/>
              </w:rPr>
              <w:t>4. Product &amp; Category</w:t>
            </w:r>
          </w:p>
        </w:tc>
        <w:tc>
          <w:tcPr>
            <w:tcW w:type="dxa" w:w="6768"/>
          </w:tcPr>
          <w:p>
            <w:r/>
            <w:r>
              <w:rPr>
                <w:sz w:val="18"/>
              </w:rPr>
              <w:t>Top products by revenue and quantity, category donuts, AOV, box plot, price vs units scatter, product x region heatmap, performance table</w:t>
            </w:r>
          </w:p>
        </w:tc>
      </w:tr>
      <w:tr>
        <w:tc>
          <w:tcPr>
            <w:tcW w:type="dxa" w:w="2448"/>
          </w:tcPr>
          <w:p>
            <w:r/>
            <w:r>
              <w:rPr>
                <w:sz w:val="18"/>
              </w:rPr>
              <w:t>5. Shipping Analysis</w:t>
            </w:r>
          </w:p>
        </w:tc>
        <w:tc>
          <w:tcPr>
            <w:tcW w:type="dxa" w:w="6768"/>
          </w:tcPr>
          <w:p>
            <w:r/>
            <w:r>
              <w:rPr>
                <w:sz w:val="18"/>
              </w:rPr>
              <w:t>Status distribution, fee histogram, status by region/category/product, return rates with confidence intervals, fee box plot and scatter</w:t>
            </w:r>
          </w:p>
        </w:tc>
      </w:tr>
      <w:tr>
        <w:tc>
          <w:tcPr>
            <w:tcW w:type="dxa" w:w="2448"/>
          </w:tcPr>
          <w:p>
            <w:r/>
            <w:r>
              <w:rPr>
                <w:sz w:val="18"/>
              </w:rPr>
              <w:t>6. Business Insights</w:t>
            </w:r>
          </w:p>
        </w:tc>
        <w:tc>
          <w:tcPr>
            <w:tcW w:type="dxa" w:w="6768"/>
          </w:tcPr>
          <w:p>
            <w:r/>
            <w:r>
              <w:rPr>
                <w:sz w:val="18"/>
              </w:rPr>
              <w:t>Auto-generated insights, regional table, statistical tests, descriptive statistics, correlation heatmap, cleaning log, data-quality notes</w:t>
            </w:r>
          </w:p>
        </w:tc>
      </w:tr>
    </w:tbl>
    <w:p>
      <w:pPr>
        <w:spacing w:after="40"/>
      </w:pPr>
    </w:p>
    <w:p>
      <w:r>
        <w:rPr>
          <w:b w:val="0"/>
          <w:i w:val="0"/>
        </w:rPr>
        <w:t>Design choices: charts have titles, axis labels, thousand separators and hover tooltips; return-rate charts show 95% confidence intervals so users do not over-read small differences; partial months are marked; warnings explain the data limitations where they affect interpretation. Dashboard screenshots can be added to the screenshots folder after running the application locally.</w:t>
      </w:r>
    </w:p>
    <w:p>
      <w:pPr>
        <w:pStyle w:val="Heading1"/>
      </w:pPr>
      <w:r>
        <w:t>21. Key Findings</w:t>
      </w:r>
    </w:p>
    <w:p>
      <w:pPr>
        <w:pStyle w:val="ListBullet"/>
      </w:pPr>
      <w:r>
        <w:t>Revenue is 1,346,600 from 1,000 orders; average order value is 1,347.</w:t>
      </w:r>
    </w:p>
    <w:p>
      <w:pPr>
        <w:pStyle w:val="ListBullet"/>
      </w:pPr>
      <w:r>
        <w:t>Laptop alone provides 51.7% of revenue; Electronics provides 89.2%.</w:t>
      </w:r>
    </w:p>
    <w:p>
      <w:pPr>
        <w:pStyle w:val="ListBullet"/>
      </w:pPr>
      <w:r>
        <w:t>Revenue is evenly spread across regions (23.5% to 25.8% each).</w:t>
      </w:r>
    </w:p>
    <w:p>
      <w:pPr>
        <w:pStyle w:val="ListBullet"/>
      </w:pPr>
      <w:r>
        <w:t>Best complete month: 2023-11; lowest: 2023-03.</w:t>
      </w:r>
    </w:p>
    <w:p>
      <w:pPr>
        <w:pStyle w:val="ListBullet"/>
      </w:pPr>
      <w:r>
        <w:t>32.4% of orders with known status were returned, equal to 415,640 of revenue.</w:t>
      </w:r>
    </w:p>
    <w:p>
      <w:pPr>
        <w:pStyle w:val="ListBullet"/>
      </w:pPr>
      <w:r>
        <w:t>West has a significantly different (higher) return rate than other regions (39.9%).</w:t>
      </w:r>
    </w:p>
    <w:p>
      <w:pPr>
        <w:pStyle w:val="ListBullet"/>
      </w:pPr>
      <w:r>
        <w:t>No significant difference in return rate between categories, products or genders.</w:t>
      </w:r>
    </w:p>
    <w:p>
      <w:pPr>
        <w:pStyle w:val="ListBullet"/>
      </w:pPr>
      <w:r>
        <w:t>86.0% of customer IDs are repeat buyers; the top 20% of IDs generate 48.7% of revenue.</w:t>
      </w:r>
    </w:p>
    <w:p>
      <w:pPr>
        <w:pStyle w:val="Heading1"/>
      </w:pPr>
      <w:r>
        <w:t>22. Business Insights</w:t>
      </w:r>
    </w:p>
    <w:p>
      <w:r>
        <w:rPr>
          <w:b w:val="0"/>
          <w:i w:val="0"/>
        </w:rPr>
        <w:t>Overview: The selection contains 1,000 orders from 292 customer IDs, generating revenue of 1,346,600 (average order value 1,347).</w:t>
      </w:r>
    </w:p>
    <w:p>
      <w:r>
        <w:rPr>
          <w:b w:val="0"/>
          <w:i w:val="0"/>
        </w:rPr>
        <w:t>Products: Laptop generates the highest revenue (696,000, 51.7% of sales). Monitor sells the most units (503). Mouse is the lowest revenue product (0.9% of sales).</w:t>
      </w:r>
    </w:p>
    <w:p>
      <w:r>
        <w:rPr>
          <w:b w:val="0"/>
          <w:i w:val="0"/>
        </w:rPr>
        <w:t>Categories: Electronics is the top category with 89.2% of revenue from 47.7% of orders; the lowest is Accessories (5.3% of revenue).</w:t>
      </w:r>
    </w:p>
    <w:p>
      <w:r>
        <w:rPr>
          <w:b w:val="0"/>
          <w:i w:val="0"/>
        </w:rPr>
        <w:t>Regions: East leads on revenue (329,950, 25.8%); South is lowest (301,040). The best region is 9.6% above the lowest one.</w:t>
      </w:r>
    </w:p>
    <w:p>
      <w:r>
        <w:rPr>
          <w:b w:val="0"/>
          <w:i w:val="0"/>
        </w:rPr>
        <w:t>Trend: Best complete month by revenue: 2023-11 (147,150); lowest: 2023-03 (67,660). Partial month(s) 2024-01 were excluded from this comparison.</w:t>
      </w:r>
    </w:p>
    <w:p>
      <w:r>
        <w:rPr>
          <w:b w:val="0"/>
          <w:i w:val="0"/>
        </w:rPr>
        <w:t>Shipping: Return rate is 32.4% (delivered 32.9%, in transit 34.6%) among orders with known status. Returned orders account for 415,640 of revenue (30.9%).</w:t>
      </w:r>
    </w:p>
    <w:p>
      <w:r>
        <w:rPr>
          <w:b w:val="0"/>
          <w:i w:val="0"/>
        </w:rPr>
        <w:t>Returns: Highest return rate by region: West (39.9%, 95% CI 33.9-46.3%); lowest: South (27.5%).</w:t>
      </w:r>
    </w:p>
    <w:p>
      <w:r>
        <w:rPr>
          <w:b w:val="0"/>
          <w:i w:val="0"/>
        </w:rPr>
        <w:t>Returns: Highest return rate by category: Accessories (33.1%, 95% CI 28.6-37.9%); lowest: Electronics (31.8%).</w:t>
      </w:r>
    </w:p>
    <w:p>
      <w:r>
        <w:rPr>
          <w:b w:val="0"/>
          <w:i w:val="0"/>
        </w:rPr>
        <w:t>Returns: Highest return rate by product: Headphones (34.5%, 95% CI 26.5-43.5%); lowest: Monitor (30.2%).</w:t>
      </w:r>
    </w:p>
    <w:p>
      <w:r>
        <w:rPr>
          <w:b w:val="0"/>
          <w:i w:val="0"/>
        </w:rPr>
        <w:t>Statistics: Significant at the 5% level: Is shipping status related to Region?; Is customer age related to order value? (correlation 0.07: statistically detectable but very weak, so of little practical importance).</w:t>
      </w:r>
    </w:p>
    <w:p>
      <w:r>
        <w:rPr>
          <w:b w:val="0"/>
          <w:i w:val="0"/>
        </w:rPr>
        <w:t>Customers: 86.0% of customer IDs purchased more than once. The top 20% of customers generate 48.7% of revenue. (Customer IDs show inconsistent gender/region, so treat customer-level results as indicative.)</w:t>
      </w:r>
    </w:p>
    <w:p>
      <w:r>
        <w:rPr>
          <w:b w:val="0"/>
          <w:i w:val="0"/>
        </w:rPr>
        <w:t>Demographics: The age group with the highest revenue is 46-55 (23.0%). By gender, Male customers contribute 53.1% of revenue.</w:t>
      </w:r>
    </w:p>
    <w:p>
      <w:r>
        <w:rPr>
          <w:b w:val="0"/>
          <w:i w:val="0"/>
        </w:rPr>
        <w:t>Attention areas: 32.4% of orders with a known status were returned, which removes 415,640 from revenue (net revenue 930,960). 5.0% of orders have no shipping status recorded, a data-capture gap.</w:t>
      </w:r>
    </w:p>
    <w:p>
      <w:pPr>
        <w:pStyle w:val="Heading1"/>
      </w:pPr>
      <w:r>
        <w:t>23. Business Recommendations</w:t>
      </w:r>
    </w:p>
    <w:p>
      <w:pPr>
        <w:pStyle w:val="ListBullet"/>
      </w:pPr>
      <w:r>
        <w:t>Investigate returns in the West region first (return rate 39.9% versus 27.5% in South): check carriers, delivery times and product handling there.</w:t>
      </w:r>
    </w:p>
    <w:p>
      <w:pPr>
        <w:pStyle w:val="ListBullet"/>
      </w:pPr>
      <w:r>
        <w:t>Treat the overall return rate (32.4%) as a company-wide issue: collect return reasons, because it removes about 31% of revenue.</w:t>
      </w:r>
    </w:p>
    <w:p>
      <w:pPr>
        <w:pStyle w:val="ListBullet"/>
      </w:pPr>
      <w:r>
        <w:t>Protect the Electronics line, especially Laptop, through stock availability and quality control since it drives most revenue; consider promotions that lift Accessories and Wearables order value, e.g. bundles with Electronics.</w:t>
      </w:r>
    </w:p>
    <w:p>
      <w:pPr>
        <w:pStyle w:val="ListBullet"/>
      </w:pPr>
      <w:r>
        <w:t>Review what happened in February-March (lowest months) and plan campaigns before them, after confirming with a second year of data whether the pattern repeats.</w:t>
      </w:r>
    </w:p>
    <w:p>
      <w:pPr>
        <w:pStyle w:val="ListBullet"/>
      </w:pPr>
      <w:r>
        <w:t>Fix data capture: make Region and Shipping Status mandatory, add an Order ID, and use one consistent Customer ID per person.</w:t>
      </w:r>
    </w:p>
    <w:p>
      <w:pPr>
        <w:pStyle w:val="ListBullet"/>
      </w:pPr>
      <w:r>
        <w:t>Reconcile pricing: some Unit Price entries did not match the product price list; add a validation rule that Unit Price x Quantity equals Total Price.</w:t>
      </w:r>
    </w:p>
    <w:p>
      <w:pPr>
        <w:pStyle w:val="Heading1"/>
      </w:pPr>
      <w:r>
        <w:t>24. Limitations</w:t>
      </w:r>
    </w:p>
    <w:p>
      <w:pPr>
        <w:pStyle w:val="ListBullet"/>
      </w:pPr>
      <w:r>
        <w:t>No Order ID: each row is treated as one order; multi-item baskets cannot be identified.</w:t>
      </w:r>
    </w:p>
    <w:p>
      <w:pPr>
        <w:pStyle w:val="ListBullet"/>
      </w:pPr>
      <w:r>
        <w:t>Customer IDs are inconsistent (same ID with different gender/region), so customer analysis is indicative.</w:t>
      </w:r>
    </w:p>
    <w:p>
      <w:pPr>
        <w:pStyle w:val="ListBullet"/>
      </w:pPr>
      <w:r>
        <w:t>Region, Shipping Status and Age had missing values (100 ages were imputed); Unknown labels reduce the sample for region and status analysis.</w:t>
      </w:r>
    </w:p>
    <w:p>
      <w:pPr>
        <w:pStyle w:val="ListBullet"/>
      </w:pPr>
      <w:r>
        <w:t>Only one full year of data (plus 1 day of the following year), so seasonality and year-over-year growth cannot be evaluated.</w:t>
      </w:r>
    </w:p>
    <w:p>
      <w:pPr>
        <w:pStyle w:val="ListBullet"/>
      </w:pPr>
      <w:r>
        <w:t>No cost, profit, discount, payment or return-reason data, so profitability and causes of returns cannot be analysed.</w:t>
      </w:r>
    </w:p>
    <w:p>
      <w:pPr>
        <w:pStyle w:val="ListBullet"/>
      </w:pPr>
      <w:r>
        <w:t>Currency is not specified.</w:t>
      </w:r>
    </w:p>
    <w:p>
      <w:pPr>
        <w:pStyle w:val="ListBullet"/>
      </w:pPr>
      <w:r>
        <w:t>The dataset has no public source reference; it is treated as a provided dataset and results apply only to it.</w:t>
      </w:r>
    </w:p>
    <w:p>
      <w:pPr>
        <w:pStyle w:val="Heading1"/>
      </w:pPr>
      <w:r>
        <w:t>25. Future Scope</w:t>
      </w:r>
    </w:p>
    <w:p>
      <w:pPr>
        <w:pStyle w:val="ListBullet"/>
      </w:pPr>
      <w:r>
        <w:t>Forecast monthly revenue (e.g. ARIMA or Prophet) once more history is available.</w:t>
      </w:r>
    </w:p>
    <w:p>
      <w:pPr>
        <w:pStyle w:val="ListBullet"/>
      </w:pPr>
      <w:r>
        <w:t>Add RFM-based customer segmentation when reliable customer IDs and order IDs exist.</w:t>
      </w:r>
    </w:p>
    <w:p>
      <w:pPr>
        <w:pStyle w:val="ListBullet"/>
      </w:pPr>
      <w:r>
        <w:t>Predict return risk with a classification model if return reasons and delivery times are captured.</w:t>
      </w:r>
    </w:p>
    <w:p>
      <w:pPr>
        <w:pStyle w:val="ListBullet"/>
      </w:pPr>
      <w:r>
        <w:t>Connect the dashboard to a database or live feed and deploy it (for example on Streamlit Community Cloud).</w:t>
      </w:r>
    </w:p>
    <w:p>
      <w:pPr>
        <w:pStyle w:val="ListBullet"/>
      </w:pPr>
      <w:r>
        <w:t>Add profit analysis and basket analysis when cost and order-level data are available.</w:t>
      </w:r>
    </w:p>
    <w:p>
      <w:pPr>
        <w:pStyle w:val="Heading1"/>
      </w:pPr>
      <w:r>
        <w:t>26. Conclusion</w:t>
      </w:r>
    </w:p>
    <w:p>
      <w:r>
        <w:rPr>
          <w:b w:val="0"/>
          <w:i w:val="0"/>
        </w:rPr>
        <w:t>The project delivered a complete analytics workflow and an interactive dashboard on 1,000 e-commerce orders. The results show a revenue base that is geographically balanced but concentrated in a few high-priced Electronics products, and a high overall return rate (32.4%) that is the most important operational concern, with West standing out statistically. The report also demonstrates careful handling of data quality: no rows were deleted, every correction is logged, and limitations are stated. All figures were calculated directly from the dataset, so the analysis can be reproduced by running the code.</w:t>
      </w:r>
    </w:p>
    <w:p>
      <w:pPr>
        <w:pStyle w:val="Heading1"/>
      </w:pPr>
      <w:r>
        <w:t>27. References</w:t>
      </w:r>
    </w:p>
    <w:p>
      <w:pPr>
        <w:pStyle w:val="ListBullet"/>
      </w:pPr>
      <w:r>
        <w:t>McKinney, W. (2022). Python for Data Analysis, 3rd ed. O'Reilly Media.</w:t>
      </w:r>
    </w:p>
    <w:p>
      <w:pPr>
        <w:pStyle w:val="ListBullet"/>
      </w:pPr>
      <w:r>
        <w:t>pandas documentation. https://pandas.pydata.org/docs/</w:t>
      </w:r>
    </w:p>
    <w:p>
      <w:pPr>
        <w:pStyle w:val="ListBullet"/>
      </w:pPr>
      <w:r>
        <w:t>SciPy documentation (scipy.stats). https://docs.scipy.org/doc/scipy/</w:t>
      </w:r>
    </w:p>
    <w:p>
      <w:pPr>
        <w:pStyle w:val="ListBullet"/>
      </w:pPr>
      <w:r>
        <w:t>Plotly Python documentation. https://plotly.com/python/</w:t>
      </w:r>
    </w:p>
    <w:p>
      <w:pPr>
        <w:pStyle w:val="ListBullet"/>
      </w:pPr>
      <w:r>
        <w:t>Streamlit documentation. https://docs.streamlit.io/</w:t>
      </w:r>
    </w:p>
    <w:p>
      <w:pPr>
        <w:pStyle w:val="ListBullet"/>
      </w:pPr>
      <w:r>
        <w:t>Matplotlib documentation. https://matplotlib.org/stable/</w:t>
      </w:r>
    </w:p>
    <w:p>
      <w:pPr>
        <w:pStyle w:val="ListBullet"/>
      </w:pPr>
      <w:r>
        <w:t>Wilson, E. B. (1927). Probable inference, the law of succession, and statistical inference. Journal of the American Statistical Association, 22(158), 209-212.</w:t>
      </w:r>
    </w:p>
    <w:p>
      <w:pPr>
        <w:pStyle w:val="ListBullet"/>
      </w:pPr>
      <w:r>
        <w:t>Dataset: realistic_e_commerce_sales_data.csv (provided with this project; no public URL).</w:t>
      </w:r>
    </w:p>
    <w:sectPr w:rsidR="00FC693F" w:rsidRPr="0006063C" w:rsidSect="00034616">
      <w:footerReference w:type="default" r:id="rId9"/>
      <w:headerReference w:type="default" r:id="rId10"/>
      <w:pgSz w:w="11909" w:h="16834"/>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8"/>
      </w:rPr>
      <w:t>E-Commerce Sales, Customer &amp; Shipping Analytics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