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Predictive Model Plan – Geldium Delinquency Prediction</w:t>
      </w:r>
    </w:p>
    <w:p>
      <w:pPr>
        <w:pStyle w:val="Heading2"/>
      </w:pPr>
      <w:r>
        <w:t>1. Model Logic (Generated with GenAI)</w:t>
      </w:r>
    </w:p>
    <w:p>
      <w:r>
        <w:t>Overview:</w:t>
        <w:br/>
        <w:t>The model predicts the probability that a customer will become delinquent (Delinquent_Account = 1) within the near term using financial, behavioral, and demographic features. The pipeline below describes the end-to-end logic from data ingestion to output and explanation.</w:t>
      </w:r>
    </w:p>
    <w:p>
      <w:r>
        <w:t>Pipeline (high-level):</w:t>
      </w:r>
    </w:p>
    <w:p>
      <w:r>
        <w:t>1. Data ingestion: Load cleaned dataset (columns include Age, Income, Credit_Score, Credit_Utilization, Missed_Payments, Loan_Balance, Debt_to_Income_Ratio, Employment_Status, Account_Tenure, Credit_Card_Type, Location). Drop Customer_ID.</w:t>
        <w:br/>
        <w:t>2. Preprocessing:</w:t>
        <w:br/>
        <w:t xml:space="preserve">   • Convert month-by-month payment history (Month_1..Month_6) into numeric features (on-time=0, late=1, missed=2) and derive recent_missed_count and recent_max_delay.</w:t>
        <w:br/>
        <w:t xml:space="preserve">   • Impute missing numerical values using median, categorical using mode.</w:t>
        <w:br/>
        <w:t xml:space="preserve">   • Create derived features: utilization_bucket, tenure_years, loan_to_income_ratio = Loan_Balance / (Income + 1).</w:t>
        <w:br/>
        <w:t xml:space="preserve">   • Label-encode categorical features for tree models; one-hot encode if using logistic regression or linear models.</w:t>
        <w:br/>
        <w:t>3. Train/validation split: Stratified 80/20 split on Delinquent_Account. Use Stratified K-Fold (k=5) for robust CV.</w:t>
        <w:br/>
        <w:t>4. Address class imbalance: Prefer class_weight for tree models; if feasible, apply oversampling (SMOTE) on training folds or manual oversampling when imblearn is unavailable.</w:t>
        <w:br/>
        <w:t>5. Modeling candidates:</w:t>
        <w:br/>
        <w:t xml:space="preserve">   • Baseline: Logistic Regression (regularized) for interpretability.</w:t>
        <w:br/>
        <w:t xml:space="preserve">   • Primary: Gradient-boosted tree (LightGBM/XGBoost) for top performance on tabular data.</w:t>
        <w:br/>
        <w:t xml:space="preserve">   • Alternative: RandomForest when external libraries are restricted.</w:t>
        <w:br/>
        <w:t>6. Calibration &amp; threshold selection: Use calibration (isotonic or Platt) and business-driven probability thresholds mapping to interventions.</w:t>
        <w:br/>
        <w:t>7. Explainability: Compute SHAP values for global and local explanations; provide top-3 drivers per customer to Collections team.</w:t>
        <w:br/>
        <w:t>8. Output: For each customer — probability score (0-1), risk band (Low/Medium/High), top drivers (text), recommended intervention.</w:t>
      </w:r>
    </w:p>
    <w:p>
      <w:pPr>
        <w:pStyle w:val="Heading3"/>
      </w:pPr>
      <w:r>
        <w:t>Pseudocode</w:t>
      </w:r>
    </w:p>
    <w:p>
      <w:r>
        <w:t>Pseudo-code:</w:t>
        <w:br/>
        <w:t>load data</w:t>
        <w:br/>
        <w:t>drop Customer_ID</w:t>
        <w:br/>
        <w:t>preprocess: impute, encode, feature engineering</w:t>
        <w:br/>
        <w:t>X_train, X_val, y_train, y_val = stratified_split</w:t>
        <w:br/>
        <w:t>if imbalance:</w:t>
        <w:br/>
        <w:t xml:space="preserve">    apply oversample_on_train()</w:t>
        <w:br/>
        <w:t>model = train(GradientBoostingClassifier, X_train, y_train, class_weight)</w:t>
        <w:br/>
        <w:t>probs = model.predict_proba(X_val)[:,1]</w:t>
        <w:br/>
        <w:t>calibrated_probs = calibrate(probs)</w:t>
        <w:br/>
        <w:t>threshold = choose_threshold(business_metric)</w:t>
        <w:br/>
        <w:t>preds = calibrated_probs &gt; threshold</w:t>
        <w:br/>
        <w:t>explain = shap_explain(model, X_val_sample)</w:t>
        <w:br/>
      </w:r>
    </w:p>
    <w:p>
      <w:pPr>
        <w:pStyle w:val="Heading2"/>
      </w:pPr>
      <w:r>
        <w:t>2. Justification for Model Choice</w:t>
      </w:r>
    </w:p>
    <w:p>
      <w:r>
        <w:t>Recommended Model: Gradient-boosted tree (LightGBM or XGBoost) with a Logistic Regression baseline.</w:t>
        <w:br/>
        <w:t>Justification:</w:t>
        <w:br/>
        <w:t>Gradient-boosted trees provide strong predictive performance on tabular financial data by capturing non-linear relationships and feature interactions (e.g., interactions between utilization and missed payments). They are computationally efficient, support handling missing values (implementation dependent), and pair well with SHAP for explainability. Logistic Regression serves as a transparent baseline for regulatory and interpretability needs — its coefficients provide straightforward insight into feature directionality and are easy to audit.</w:t>
        <w:br/>
        <w:br/>
        <w:t>Strengths and trade-offs:</w:t>
        <w:br/>
        <w:t>• Performance: Trees usually outperform linear models on heterogeneous tabular data.</w:t>
        <w:br/>
        <w:t>• Interpretability: While gradient boosting is less inherently interpretable than logistic regression, SHAP values offer reliable local and global explanations suitable for Collections team workflows.</w:t>
        <w:br/>
        <w:t>• Deployment &amp; monitoring: Tree models are production-friendly and fast to score; logistic regression complements them for simple rule-checking and regulatory reporting.</w:t>
        <w:br/>
        <w:t>• Fairness: Both model types allow subgroup analysis; logistic regression may be favored when strict transparency is required.</w:t>
        <w:br/>
      </w:r>
    </w:p>
    <w:p>
      <w:pPr>
        <w:pStyle w:val="Heading2"/>
      </w:pPr>
      <w:r>
        <w:t>3. Evaluation Strategy</w:t>
      </w:r>
    </w:p>
    <w:p>
      <w:r>
        <w:t>Key Metrics:</w:t>
        <w:br/>
        <w:t>• Primary metrics (business-focused): Recall (sensitivity) for the delinquent class (priority: find at-risk customers) and Precision to limit false positives for costly interventions.</w:t>
        <w:br/>
        <w:t>• Composite metrics: F1-score for class 1, PR-AUC (precision-recall AUC) because of class imbalance, ROC-AUC as a general discrimination metric.</w:t>
        <w:br/>
        <w:t>• Calibration: Brier score and calibration plots to ensure predicted probabilities are reliable for decision thresholds.</w:t>
        <w:br/>
        <w:t>• Operational metrics: % reduction in days-past-due for targeted cohort, uplift in successful collection rate after intervention (post-deployment A/B tests).</w:t>
        <w:br/>
      </w:r>
    </w:p>
    <w:p>
      <w:r>
        <w:t>Validation &amp; Robustness:</w:t>
        <w:br/>
        <w:t>• Use Stratified K-Fold (k=5) cross-validation to estimate model generalization. Perform time-based holdout if dataset contains temporal ordering.</w:t>
        <w:br/>
        <w:t>• Hyperparameter tuning via RandomizedSearchCV or Optuna within cross-validation.</w:t>
        <w:br/>
        <w:t>• Perform sensitivity analysis: vary probability thresholds to derive trade-offs between recall and precision aligned with business cost curves.</w:t>
        <w:br/>
      </w:r>
    </w:p>
    <w:p>
      <w:r>
        <w:t>Fairness, Bias Detection &amp; Mitigation:</w:t>
        <w:br/>
        <w:t>• Measure per-group metrics (TPR, FPR) across protected or sensitive groups (e.g., Location, Employment_Status, age groups).</w:t>
        <w:br/>
        <w:t>• If disparities exceed predefined thresholds (e.g., 10% relative difference), investigate root causes and consider mitigation: reweighting, adversarial debiasing, or separate calibration per group.</w:t>
        <w:br/>
        <w:t>• Use model explainability (SHAP) to detect features that may proxy for sensitive attributes; remove or transform features and re-evaluate.</w:t>
        <w:br/>
      </w:r>
    </w:p>
    <w:p>
      <w:r>
        <w:t>Explainability &amp; Operationalization:</w:t>
        <w:br/>
        <w:t>• Provide SHAP-based global feature importance and local explanations for every flagged customer, summarized into top-3 drivers.</w:t>
        <w:br/>
        <w:t>• Implement decision logs that store model score, key drivers, and recommended action for auditability and feedback.</w:t>
        <w:br/>
        <w:t>• Monitor model drift and performance metrics monthly; retrain the model when performance degrades or population changes.</w:t>
        <w:br/>
      </w:r>
    </w:p>
    <w:p>
      <w:pPr>
        <w:pStyle w:val="Heading2"/>
      </w:pPr>
      <w:r>
        <w:t>4. Business Mapping (Risk Bands → Interventions)</w:t>
      </w:r>
    </w:p>
    <w:p>
      <w:r>
        <w:t>Example mapping:</w:t>
        <w:br/>
        <w:t>• Low risk (PD &lt; 0.20): automated SMS reminders, no human touch.</w:t>
        <w:br/>
        <w:t>• Medium risk (0.20 ≤ PD &lt; 0.60): targeted emails, two-step SMS + app notification, soft outreach via automated calls.</w:t>
        <w:br/>
        <w:t>• High risk (PD ≥ 0.60): priority for Collections calls, offer payment restructuring, temporarily restrict credit increases.</w:t>
        <w:br/>
      </w:r>
    </w:p>
    <w:p>
      <w:pPr>
        <w:pStyle w:val="Heading2"/>
      </w:pPr>
      <w:r>
        <w:t>5. GenAI Prompts Used</w:t>
      </w:r>
    </w:p>
    <w:p>
      <w:r>
        <w:t>Examples of GenAI prompts used to scaffold this plan:</w:t>
        <w:br/>
        <w:t>• “Outline a predictive modeling pipeline for credit delinquency using tabular features such as income, credit utilization, missed payments.”</w:t>
        <w:br/>
        <w:t>• “Compare Logistic Regression and Gradient Boosted Trees for a financial risk prediction problem and recommend one.”</w:t>
        <w:br/>
        <w:t>• “Provide a metrics and fairness evaluation plan for a credit risk classifier and suggest bias mitigation techniques.”</w:t>
        <w:br/>
      </w:r>
    </w:p>
    <w:p>
      <w:pPr>
        <w:pStyle w:val="Heading2"/>
      </w:pPr>
      <w:r>
        <w:t>6. Conclusion &amp; Next Steps</w:t>
      </w:r>
    </w:p>
    <w:p>
      <w:r>
        <w:t>This plan recommends using a gradient-boosted tree model (LightGBM/XGBoost) as the primary approach with logistic regression as a transparent baseline. The modeling approach focuses on recall for capturing delinquent customers while controlling precision through threshold tuning, calibration, and operational cost evaluation. Explainability (SHAP) and fairness checks are embedded in the workflow to ensure responsible deployment.</w:t>
        <w:br/>
        <w:br/>
        <w:t>Next steps:</w:t>
        <w:br/>
        <w:t>1. Finalize preprocessing and feature engineering in a Jupyter notebook.</w:t>
        <w:br/>
        <w:t>2. Implement model training, cross-validation, and hyperparameter tuning.</w:t>
        <w:br/>
        <w:t>3. Produce visual evaluation (confusion matrix, ROC/PR curves) and SHAP explanations.</w:t>
        <w:br/>
        <w:t>4. Prepare deployment artifacts and monitoring dashboards for Geldium’s Collections team.</w:t>
      </w:r>
    </w:p>
    <w:p>
      <w:r>
        <w:br/>
        <w:t>Prepared by: Bhagyashree</w:t>
      </w:r>
    </w:p>
    <w:p>
      <w:r>
        <w:t>Date: 2025-11-24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