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6"/>
          <w:szCs w:val="36"/>
        </w:rPr>
        <w:t xml:space="preserve">PayrollKG: An Ontology-Driven Knowledge Graph for Unified Payroll Operations — Compliance, Fraud Detection, and Analytics in Global HCM Platforms</w:t>
      </w:r>
    </w:p>
    <w:p>
      <w:pPr>
        <w:spacing w:after="60" w:before="60"/>
      </w:pPr>
    </w:p>
    <w:p>
      <w:pPr>
        <w:spacing w:after="80" w:before="80"/>
        <w:jc w:val="center"/>
      </w:pPr>
      <w:r>
        <w:rPr>
          <w:rFonts w:ascii="Times New Roman" w:cs="Times New Roman" w:eastAsia="Times New Roman" w:hAnsi="Times New Roman"/>
          <w:sz w:val="22"/>
          <w:szCs w:val="22"/>
        </w:rPr>
        <w:t xml:space="preserve">Bhagyalakshmi Duraisamy</w:t>
      </w:r>
    </w:p>
    <w:p>
      <w:pPr>
        <w:spacing w:after="80" w:before="40"/>
        <w:jc w:val="center"/>
      </w:pPr>
      <w:r>
        <w:rPr>
          <w:rFonts w:ascii="Times New Roman" w:cs="Times New Roman" w:eastAsia="Times New Roman" w:hAnsi="Times New Roman"/>
          <w:sz w:val="20"/>
          <w:szCs w:val="20"/>
        </w:rPr>
        <w:t xml:space="preserve">Senior Product Manager, Enterprise HCM &amp; Data Platforms</w:t>
      </w:r>
    </w:p>
    <w:p>
      <w:pPr>
        <w:spacing w:after="80" w:before="40"/>
        <w:jc w:val="center"/>
      </w:pPr>
      <w:r>
        <w:rPr>
          <w:rFonts w:ascii="Times New Roman" w:cs="Times New Roman" w:eastAsia="Times New Roman" w:hAnsi="Times New Roman"/>
          <w:sz w:val="20"/>
          <w:szCs w:val="20"/>
        </w:rPr>
        <w:t xml:space="preserve">lakshmiireddy1993@gmail.com</w:t>
      </w:r>
    </w:p>
    <w:p>
      <w:pPr>
        <w:pBdr>
          <w:bottom w:val="single" w:color="888888" w:sz="2" w:space="1"/>
        </w:pBdr>
        <w:spacing w:after="120" w:before="120"/>
      </w:pPr>
    </w:p>
    <w:p>
      <w:pPr>
        <w:pBdr>
          <w:left w:val="single" w:color="333333" w:sz="6" w:space="80"/>
          <w:right w:val="single" w:color="333333" w:sz="6" w:space="80"/>
        </w:pBdr>
        <w:spacing w:after="120" w:before="120"/>
        <w:ind w:left="480" w:right="480"/>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Global payroll systems manage complex interdependencies among employee records, compensation rules, tax regulations, benefit enrollments, and compliance mandates across hundreds of jurisdictions. Existing relational database architectures in Human Capital Management (HCM) platforms treat these entities as isolated tables, preventing semantic reasoning, cross-system impact analysis, and explainable compliance verification. We present PayrollKG, an ontology-driven knowledge graph that models employees, pay rules, tax jurisdictions, deductions, benefits, compliance mandates, and audit events as a temporal, multi-relational graph. PayrollKG is designed for large-scale HCM platforms and supports three high-value operational capabilities: (1) multi-jurisdictional tax compliance reasoning achieving 91.2% accuracy across 140 jurisdiction rule sets; (2) payroll anomaly and fraud detection with F1 = 0.89 on a benchmark of 12,000 payroll records including ghost employees, duplicate payments, and rule violations; and (3) knowledge-graph-grounded natural language payroll question answering, reducing LLM hallucination rate by 38% compared to retrieval-augmented generation baselines. Evaluated on a synthetic enterprise dataset of 50,000 employee records across 28 countries, PayrollKG demonstrates that a unified semantic layer over payroll data enables reasoning capabilities unavailable in conventional relational systems.</w:t>
      </w:r>
    </w:p>
    <w:p>
      <w:pPr>
        <w:spacing w:after="120" w:before="60"/>
        <w:ind w:left="480" w:right="480"/>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knowledge graphs, ontology, payroll compliance, fraud detection, human capital management, natural language question answering, temporal reasoning, LLM grounding.</w:t>
      </w:r>
    </w:p>
    <w:p>
      <w:pPr>
        <w:pBdr>
          <w:bottom w:val="single" w:color="888888" w:sz="2" w:space="1"/>
        </w:pBdr>
        <w:spacing w:after="120" w:before="120"/>
      </w:pPr>
    </w:p>
    <w:p>
      <w:pPr>
        <w:pStyle w:val="Heading1"/>
        <w:spacing w:after="80" w:before="280"/>
        <w:jc w:val="center"/>
      </w:pPr>
      <w:r>
        <w:rPr>
          <w:rFonts w:ascii="Times New Roman" w:cs="Times New Roman" w:eastAsia="Times New Roman" w:hAnsi="Times New Roman"/>
          <w:b/>
          <w:bCs/>
          <w:sz w:val="22"/>
          <w:szCs w:val="22"/>
        </w:rPr>
        <w:t xml:space="preserve">I. INTRODUCTION</w:t>
      </w:r>
    </w:p>
    <w:p>
      <w:pPr>
        <w:spacing w:after="60" w:before="60"/>
        <w:ind w:firstLine="360"/>
        <w:jc w:val="both"/>
      </w:pPr>
      <w:r>
        <w:rPr>
          <w:rFonts w:ascii="Times New Roman" w:cs="Times New Roman" w:eastAsia="Times New Roman" w:hAnsi="Times New Roman"/>
          <w:sz w:val="22"/>
          <w:szCs w:val="22"/>
        </w:rPr>
        <w:t xml:space="preserve">Global payroll processing represents one of the most compliance-sensitive operations in enterprise computing. Leading HCM platforms collectively process payroll for hundreds of millions of workers across diverse regulatory environments, each governed by distinct tax codes, labor laws, overtime regulations, benefit mandates, and reporting obligations [1]. Even minor errors in payroll computation carry significant financial and regulatory consequences, including back-pay liabilities, tax penalties, and audit exposure [2].</w:t>
      </w:r>
    </w:p>
    <w:p>
      <w:pPr>
        <w:spacing w:after="60" w:before="60"/>
        <w:ind w:firstLine="360"/>
        <w:jc w:val="both"/>
      </w:pPr>
      <w:r>
        <w:rPr>
          <w:rFonts w:ascii="Times New Roman" w:cs="Times New Roman" w:eastAsia="Times New Roman" w:hAnsi="Times New Roman"/>
          <w:sz w:val="22"/>
          <w:szCs w:val="22"/>
        </w:rPr>
        <w:t xml:space="preserve">The core challenge is structural. Contemporary HCM platforms store payroll data in normalized relational schemas designed for transactional efficiency — not semantic reasoning. An employee record, a pay rule, a tax jurisdiction, a benefit enrollment, and a compliance mandate exist as separate rows in separate tables, linked only by foreign keys. This architecture makes it computationally straightforward to retrieve a single record but semantically impossible to answer multi-hop reasoning queries such as: 'Does this employee's California overtime rule override the federal Fair Labor Standards Act for this pay period, given their exempt classification and current benefit enrollment?' Answering such a question requires traversing at least seven entity types and twelve relationship types — a task that relational JOIN operations can execute mechanically but cannot reason about semantically [3].</w:t>
      </w:r>
    </w:p>
    <w:p>
      <w:pPr>
        <w:spacing w:after="60" w:before="60"/>
        <w:ind w:firstLine="360"/>
        <w:jc w:val="both"/>
      </w:pPr>
      <w:r>
        <w:rPr>
          <w:rFonts w:ascii="Times New Roman" w:cs="Times New Roman" w:eastAsia="Times New Roman" w:hAnsi="Times New Roman"/>
          <w:sz w:val="22"/>
          <w:szCs w:val="22"/>
        </w:rPr>
        <w:t xml:space="preserve">Knowledge graphs (KGs) offer a fundamentally different representational paradigm. By modeling entities and their semantic relationships as a directed graph of subject-predicate-object triples, a KG enables multi-hop reasoning, constraint propagation, temporal fact validity, and explainable inference [4]. KGs have been applied extensively in biomedical [5], financial [6], and cybersecurity [7] domains to enable exactly the kind of cross-entity reasoning that relational systems cannot support. However, to the best of our knowledge, no published work has proposed a unified KG specifically designed for enterprise payroll operations.</w:t>
      </w:r>
    </w:p>
    <w:p>
      <w:pPr>
        <w:spacing w:after="60" w:before="60"/>
        <w:ind w:firstLine="360"/>
        <w:jc w:val="both"/>
      </w:pPr>
      <w:r>
        <w:rPr>
          <w:rFonts w:ascii="Times New Roman" w:cs="Times New Roman" w:eastAsia="Times New Roman" w:hAnsi="Times New Roman"/>
          <w:sz w:val="22"/>
          <w:szCs w:val="22"/>
        </w:rPr>
        <w:t xml:space="preserve">This paper presents PayrollKG, an ontology-driven knowledge graph for unified payroll operations. Our main contributions are:</w:t>
      </w:r>
    </w:p>
    <w:p>
      <w:pPr>
        <w:spacing w:after="40" w:before="60"/>
        <w:ind w:left="720" w:hanging="360"/>
      </w:pPr>
      <w:r>
        <w:rPr>
          <w:rFonts w:ascii="Times New Roman" w:cs="Times New Roman" w:eastAsia="Times New Roman" w:hAnsi="Times New Roman"/>
          <w:sz w:val="22"/>
          <w:szCs w:val="22"/>
        </w:rPr>
        <w:t xml:space="preserve">•  A formal payroll ontology with eight entity types, twenty-three relationship types, and temporal validity properties, designed to unify employee, compensation, tax, benefit, compliance, and audit data from disparate HCM system tables.</w:t>
      </w:r>
    </w:p>
    <w:p>
      <w:pPr>
        <w:spacing w:after="40" w:before="40"/>
        <w:ind w:left="720" w:hanging="360"/>
      </w:pPr>
      <w:r>
        <w:rPr>
          <w:rFonts w:ascii="Times New Roman" w:cs="Times New Roman" w:eastAsia="Times New Roman" w:hAnsi="Times New Roman"/>
          <w:sz w:val="22"/>
          <w:szCs w:val="22"/>
        </w:rPr>
        <w:t xml:space="preserve">•  Three demonstrated use cases: (1) multi-jurisdictional compliance reasoning using SPARQL over a graph populated with 140 jurisdiction-specific rule sets; (2) payroll fraud and anomaly detection by embedding PayrollKG triples using RotatE [8] and thresholding plausibility scores; and (3) natural language payroll Q&amp;A by grounding large language model (LLM) responses in KG-retrieved structured context.</w:t>
      </w:r>
    </w:p>
    <w:p>
      <w:pPr>
        <w:spacing w:after="60" w:before="40"/>
        <w:ind w:left="720" w:hanging="360"/>
      </w:pPr>
      <w:r>
        <w:rPr>
          <w:rFonts w:ascii="Times New Roman" w:cs="Times New Roman" w:eastAsia="Times New Roman" w:hAnsi="Times New Roman"/>
          <w:sz w:val="22"/>
          <w:szCs w:val="22"/>
        </w:rPr>
        <w:t xml:space="preserve">•  Quantitative evaluation on a synthetic enterprise benchmark of 50,000 employee records across 28 countries, demonstrating 91.2% compliance reasoning accuracy, F1 = 0.89 for anomaly detection, and 38% reduction in LLM hallucination rate.</w:t>
      </w:r>
    </w:p>
    <w:p>
      <w:pPr>
        <w:spacing w:after="60" w:before="60"/>
        <w:ind w:firstLine="360"/>
        <w:jc w:val="both"/>
      </w:pPr>
      <w:r>
        <w:rPr>
          <w:rFonts w:ascii="Times New Roman" w:cs="Times New Roman" w:eastAsia="Times New Roman" w:hAnsi="Times New Roman"/>
          <w:sz w:val="22"/>
          <w:szCs w:val="22"/>
        </w:rPr>
        <w:t xml:space="preserve">The remainder of this paper is organized as follows. Section II reviews related work. Section III presents the PayrollKG ontology. Section IV describes the three use cases and their implementation. Section V reports experimental results. Section VI discusses limitations and future directions. Section VII concludes.</w:t>
      </w:r>
    </w:p>
    <w:p>
      <w:pPr>
        <w:pStyle w:val="Heading1"/>
        <w:spacing w:after="80" w:before="280"/>
        <w:jc w:val="center"/>
      </w:pPr>
      <w:r>
        <w:rPr>
          <w:rFonts w:ascii="Times New Roman" w:cs="Times New Roman" w:eastAsia="Times New Roman" w:hAnsi="Times New Roman"/>
          <w:b/>
          <w:bCs/>
          <w:sz w:val="22"/>
          <w:szCs w:val="22"/>
        </w:rPr>
        <w:t xml:space="preserve">II. RELATED WORK</w:t>
      </w:r>
    </w:p>
    <w:p>
      <w:pPr>
        <w:pStyle w:val="Heading2"/>
        <w:spacing w:after="60" w:before="160"/>
      </w:pPr>
      <w:r>
        <w:rPr>
          <w:rFonts w:ascii="Times New Roman" w:cs="Times New Roman" w:eastAsia="Times New Roman" w:hAnsi="Times New Roman"/>
          <w:b/>
          <w:bCs/>
          <w:sz w:val="22"/>
          <w:szCs w:val="22"/>
        </w:rPr>
        <w:t xml:space="preserve">A. Knowledge Graphs in Enterprise Applications</w:t>
      </w:r>
    </w:p>
    <w:p>
      <w:pPr>
        <w:spacing w:after="60" w:before="60"/>
        <w:ind w:firstLine="360"/>
        <w:jc w:val="both"/>
      </w:pPr>
      <w:r>
        <w:rPr>
          <w:rFonts w:ascii="Times New Roman" w:cs="Times New Roman" w:eastAsia="Times New Roman" w:hAnsi="Times New Roman"/>
          <w:sz w:val="22"/>
          <w:szCs w:val="22"/>
        </w:rPr>
        <w:t xml:space="preserve">Knowledge graphs have been applied broadly across enterprise domains. In financial services, the IEEE Standard 2807.2-2024 establishes a formal knowledge model and technical framework for applying KGs to financial services use cases including risk, compliance, and customer analytics [6]. Elluri et al. [9] demonstrated an integrated KG for GDPR and PCI-DSS compliance verification, showing that regulatory rules modeled as ontological constraints enable automated compliance checking unavailable in relational systems. HRGraph [10] leverages LLMs to construct knowledge graphs from HR data for job recommendation, demonstrating the utility of graph-based HR data representation. Bourmpoulias et al. [11] proposed an entity-event KG for human resources management in public administration, covering employee lifecycle events. However, none of these works addresses payroll computation semantics, multi-jurisdictional tax rule reasoning, or payroll fraud detection.</w:t>
      </w:r>
    </w:p>
    <w:p>
      <w:pPr>
        <w:pStyle w:val="Heading2"/>
        <w:spacing w:after="60" w:before="160"/>
      </w:pPr>
      <w:r>
        <w:rPr>
          <w:rFonts w:ascii="Times New Roman" w:cs="Times New Roman" w:eastAsia="Times New Roman" w:hAnsi="Times New Roman"/>
          <w:b/>
          <w:bCs/>
          <w:sz w:val="22"/>
          <w:szCs w:val="22"/>
        </w:rPr>
        <w:t xml:space="preserve">B. Multi-Jurisdictional Compliance Reasoning</w:t>
      </w:r>
    </w:p>
    <w:p>
      <w:pPr>
        <w:spacing w:after="60" w:before="60"/>
        <w:ind w:firstLine="360"/>
        <w:jc w:val="both"/>
      </w:pPr>
      <w:r>
        <w:rPr>
          <w:rFonts w:ascii="Times New Roman" w:cs="Times New Roman" w:eastAsia="Times New Roman" w:hAnsi="Times New Roman"/>
          <w:sz w:val="22"/>
          <w:szCs w:val="22"/>
        </w:rPr>
        <w:t xml:space="preserve">The challenge of reasoning over overlapping and conflicting regulatory rules across jurisdictions has been studied in the context of privacy [12] and financial regulation [6]. Pan et al. [13] provide a comprehensive roadmap for unifying LLMs with knowledge graphs, identifying compliance-critical applications as a priority domain. GraphCompliance [14] demonstrates policy-to-context graph alignment for LLM-based regulatory compliance checking. Temporal knowledge graph reasoning, required for handling effective-date-bounded tax rules, is studied by Cai et al. [15] and applied to temporal link prediction. PayrollKG extends these foundations specifically to the payroll domain, where rules have complex jurisdictional hierarchies, effective dates, exemption conditions, and conflict resolution priorities.</w:t>
      </w:r>
    </w:p>
    <w:p>
      <w:pPr>
        <w:pStyle w:val="Heading2"/>
        <w:spacing w:after="60" w:before="160"/>
      </w:pPr>
      <w:r>
        <w:rPr>
          <w:rFonts w:ascii="Times New Roman" w:cs="Times New Roman" w:eastAsia="Times New Roman" w:hAnsi="Times New Roman"/>
          <w:b/>
          <w:bCs/>
          <w:sz w:val="22"/>
          <w:szCs w:val="22"/>
        </w:rPr>
        <w:t xml:space="preserve">C. Fraud Detection Using Knowledge Graphs</w:t>
      </w:r>
    </w:p>
    <w:p>
      <w:pPr>
        <w:spacing w:after="60" w:before="60"/>
        <w:ind w:firstLine="360"/>
        <w:jc w:val="both"/>
      </w:pPr>
      <w:r>
        <w:rPr>
          <w:rFonts w:ascii="Times New Roman" w:cs="Times New Roman" w:eastAsia="Times New Roman" w:hAnsi="Times New Roman"/>
          <w:sz w:val="22"/>
          <w:szCs w:val="22"/>
        </w:rPr>
        <w:t xml:space="preserve">Knowledge-graph-based fraud detection has been studied extensively in financial and insurance domains. Sun et al. [16] apply a medical KG to detect fraud, waste, and abuse in insurance claims. Knowledge-guided weak supervision for fraud detection is explored by Wang et al. [17], demonstrating that KG-derived priors improve anomaly classifiers. Tax evasion detection using heterogeneous graph neural networks is studied in [18]. For payroll specifically, machine-learning-based approaches to payroll fraud detection exist as commercial patent methods [19] but have not been formalized as academic contributions with reproducible benchmarks. PayrollKG bridges this gap by framing payroll anomaly detection as a KGE plausibility scoring problem, following the embedding survey of Niu [20].</w:t>
      </w:r>
    </w:p>
    <w:p>
      <w:pPr>
        <w:pStyle w:val="Heading2"/>
        <w:spacing w:after="60" w:before="160"/>
      </w:pPr>
      <w:r>
        <w:rPr>
          <w:rFonts w:ascii="Times New Roman" w:cs="Times New Roman" w:eastAsia="Times New Roman" w:hAnsi="Times New Roman"/>
          <w:b/>
          <w:bCs/>
          <w:sz w:val="22"/>
          <w:szCs w:val="22"/>
        </w:rPr>
        <w:t xml:space="preserve">D. LLM Grounding with Knowledge Graphs</w:t>
      </w:r>
    </w:p>
    <w:p>
      <w:pPr>
        <w:spacing w:after="60" w:before="60"/>
        <w:ind w:firstLine="360"/>
        <w:jc w:val="both"/>
      </w:pPr>
      <w:r>
        <w:rPr>
          <w:rFonts w:ascii="Times New Roman" w:cs="Times New Roman" w:eastAsia="Times New Roman" w:hAnsi="Times New Roman"/>
          <w:sz w:val="22"/>
          <w:szCs w:val="22"/>
        </w:rPr>
        <w:t xml:space="preserve">The use of knowledge graphs to reduce LLM hallucination is an active research area. Pusch et al. [21] demonstrate that grounding LLM responses in KG-retrieved context reduces hallucination rates in question-answering tasks. AGENTiGraph [22] shows that a multi-agent pipeline achieving 95.12% classification accuracy and 90.45% execution success enables natural language interaction with domain-specific KGs. Zhao et al. [22] additionally demonstrate applicability to compliance-critical domains. PayrollKG adopts the KG-grounding paradigm from these works and applies it specifically to payroll Q&amp;A, where factual accuracy about pay amounts, deductions, and compliance status has direct financial and regulatory stakes.</w:t>
      </w:r>
    </w:p>
    <w:p>
      <w:pPr>
        <w:pStyle w:val="Heading1"/>
        <w:spacing w:after="80" w:before="280"/>
        <w:jc w:val="center"/>
      </w:pPr>
      <w:r>
        <w:rPr>
          <w:rFonts w:ascii="Times New Roman" w:cs="Times New Roman" w:eastAsia="Times New Roman" w:hAnsi="Times New Roman"/>
          <w:b/>
          <w:bCs/>
          <w:sz w:val="22"/>
          <w:szCs w:val="22"/>
        </w:rPr>
        <w:t xml:space="preserve">III. THE PAYROLLKG ONTOLOGY</w:t>
      </w:r>
    </w:p>
    <w:p>
      <w:pPr>
        <w:spacing w:after="60" w:before="60"/>
        <w:ind w:firstLine="360"/>
        <w:jc w:val="both"/>
      </w:pPr>
      <w:r>
        <w:rPr>
          <w:rFonts w:ascii="Times New Roman" w:cs="Times New Roman" w:eastAsia="Times New Roman" w:hAnsi="Times New Roman"/>
          <w:sz w:val="22"/>
          <w:szCs w:val="22"/>
        </w:rPr>
        <w:t xml:space="preserve">PayrollKG is defined as a temporal, multi-relational knowledge graph G = (E, R, T, V) where E is the set of entities (nodes), R is the set of typed relations (edges), T is the set of temporal validity intervals associated with facts, and V is the set of literal values (amounts, rates, flags, timestamps). Every fact in PayrollKG is represented as a quadruple (h, r, t, [t_start, t_end]) where h is the head entity, r is the relation type, t is the tail entity or literal, and [t_start, t_end] is the validity interval. This temporal extension is critical for payroll: tax rates, exemption thresholds, and labor laws change annually, and historical compliance audit must be performed against rules in effect at the time of each pay event.</w:t>
      </w:r>
    </w:p>
    <w:p>
      <w:pPr>
        <w:pStyle w:val="Heading2"/>
        <w:spacing w:after="60" w:before="160"/>
      </w:pPr>
      <w:r>
        <w:rPr>
          <w:rFonts w:ascii="Times New Roman" w:cs="Times New Roman" w:eastAsia="Times New Roman" w:hAnsi="Times New Roman"/>
          <w:b/>
          <w:bCs/>
          <w:sz w:val="22"/>
          <w:szCs w:val="22"/>
        </w:rPr>
        <w:t xml:space="preserve">A. Entity Types</w:t>
      </w:r>
    </w:p>
    <w:p>
      <w:pPr>
        <w:spacing w:after="60" w:before="60"/>
        <w:ind w:firstLine="360"/>
        <w:jc w:val="both"/>
      </w:pPr>
      <w:r>
        <w:rPr>
          <w:rFonts w:ascii="Times New Roman" w:cs="Times New Roman" w:eastAsia="Times New Roman" w:hAnsi="Times New Roman"/>
          <w:sz w:val="22"/>
          <w:szCs w:val="22"/>
        </w:rPr>
        <w:t xml:space="preserve">PayrollKG defines eight primary entity types, each corresponding to a core operational object in payroll and HCM systems:</w:t>
      </w:r>
    </w:p>
    <w:p>
      <w:pPr>
        <w:spacing w:after="60" w:before="120"/>
        <w:jc w:val="center"/>
      </w:pPr>
      <w:r>
        <w:rPr>
          <w:rFonts w:ascii="Times New Roman" w:cs="Times New Roman" w:eastAsia="Times New Roman" w:hAnsi="Times New Roman"/>
          <w:b/>
          <w:bCs/>
          <w:sz w:val="20"/>
          <w:szCs w:val="20"/>
        </w:rPr>
        <w:t>TABLE I
PayrollKG Entity Types with Formal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Entity Type</w:t>
            </w:r>
          </w:p>
        </w:tc>
        <w:tc>
          <w:tcPr>
            <w:tcW w:type="dxa" w:w="22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Notation</w:t>
            </w:r>
          </w:p>
        </w:tc>
        <w:tc>
          <w:tcPr>
            <w:tcW w:type="dxa" w:w="576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Definition and Examples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Employee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 ∈ E_emp</w:t>
            </w:r>
          </w:p>
        </w:tc>
        <w:tc>
          <w:tcPr>
            <w:tcW w:type="dxa" w:w="5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An individual engaged under an employment relationship. Properties: emp_id, name, hire_date, employment_type, resident_state, work_state, exemption_status.</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Role</w:t>
            </w:r>
          </w:p>
        </w:tc>
        <w:tc>
          <w:tcPr>
            <w:tcW w:type="dxa" w:w="2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 ∈ E_role</w:t>
            </w:r>
          </w:p>
        </w:tc>
        <w:tc>
          <w:tcPr>
            <w:tcW w:type="dxa" w:w="57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defined job classification with associated compensation grade. Properties: role_code, FLSA_classification, overtime_eligible, pay_grade.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PayRule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p ∈ E_rule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computation rule governing compensation calculation. Examples: CA_Daily_OT_8hr, FedMinWage_2026, NY_SpreadOfHours. Properties: rule_type, rate, threshold, applicability_condition, effective_date, expiry_date.</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TaxJurisdiction</w:t>
            </w:r>
          </w:p>
        </w:tc>
        <w:tc>
          <w:tcPr>
            <w:tcW w:type="dxa" w:w="2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j ∈ E_jur</w:t>
            </w:r>
          </w:p>
        </w:tc>
        <w:tc>
          <w:tcPr>
            <w:tcW w:type="dxa" w:w="57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governmental authority with taxing power over earnings. Properties: jurisdiction_id, level (federal/state/local/country), tax_type, governing_statute.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Deduction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d ∈ E_ded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An amount withheld from gross pay. Examples: 401k_contribution, health_premium, garnishment. Properties: deduction_type, pre_tax_flag, cap_amount, employee_elected.</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PayEvent</w:t>
            </w:r>
          </w:p>
        </w:tc>
        <w:tc>
          <w:tcPr>
            <w:tcW w:type="dxa" w:w="2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pe ∈ E_evt</w:t>
            </w:r>
          </w:p>
        </w:tc>
        <w:tc>
          <w:tcPr>
            <w:tcW w:type="dxa" w:w="57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single payroll computation for one employee for one pay period. Properties: period_start, period_end, gross_pay, net_pay, hours_regular, hours_overtime, computation_timestamp.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ComplianceRule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 ∈ E_comp</w:t>
            </w:r>
          </w:p>
        </w:tc>
        <w:tc>
          <w:tcPr>
            <w:tcW w:type="dxa" w:w="5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regulatory mandate applicable to a pay computation. Examples: FLSA_OT_Rule, CA_SB_1162, NY_Minimum_Wage_2026. Properties: rule_id, jurisdiction, effective_date, penalty_type, priority_rank.</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AuditEvent</w:t>
            </w:r>
          </w:p>
        </w:tc>
        <w:tc>
          <w:tcPr>
            <w:tcW w:type="dxa" w:w="2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 E_aud</w:t>
            </w:r>
          </w:p>
        </w:tc>
        <w:tc>
          <w:tcPr>
            <w:tcW w:type="dxa" w:w="57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record of a correction, exception, or compliance action applied to a PayEvent. Properties: event_type, timestamp, initiator_id, resolution_status, financial_impact.</w:t>
            </w:r>
          </w:p>
        </w:tc>
      </w:tr>
    </w:tbl>
    <w:p>
      <w:pPr>
        <w:spacing w:after="60" w:before="60"/>
      </w:pPr>
    </w:p>
    <w:p>
      <w:pPr>
        <w:pStyle w:val="Heading2"/>
        <w:spacing w:after="60" w:before="160"/>
      </w:pPr>
      <w:r>
        <w:rPr>
          <w:rFonts w:ascii="Times New Roman" w:cs="Times New Roman" w:eastAsia="Times New Roman" w:hAnsi="Times New Roman"/>
          <w:b/>
          <w:bCs/>
          <w:sz w:val="22"/>
          <w:szCs w:val="22"/>
        </w:rPr>
        <w:t xml:space="preserve">B. Relationship Types</w:t>
      </w:r>
    </w:p>
    <w:p>
      <w:pPr>
        <w:spacing w:after="60" w:before="60"/>
        <w:ind w:firstLine="360"/>
        <w:jc w:val="both"/>
      </w:pPr>
      <w:r>
        <w:rPr>
          <w:rFonts w:ascii="Times New Roman" w:cs="Times New Roman" w:eastAsia="Times New Roman" w:hAnsi="Times New Roman"/>
          <w:sz w:val="22"/>
          <w:szCs w:val="22"/>
        </w:rPr>
        <w:t xml:space="preserve">PayrollKG defines twenty-three typed relationships spanning four semantic categories. Each relation is formally characterized following the taxonomy of Niu [20] as to mapping type (1-1, 1-N, N-1, or N-N) and relation pattern (symmetric, asymmetric, inverse, or composite):</w:t>
      </w:r>
    </w:p>
    <w:p>
      <w:pPr>
        <w:spacing w:after="60" w:before="120"/>
        <w:jc w:val="center"/>
      </w:pPr>
      <w:r>
        <w:rPr>
          <w:rFonts w:ascii="Times New Roman" w:cs="Times New Roman" w:eastAsia="Times New Roman" w:hAnsi="Times New Roman"/>
          <w:b/>
          <w:bCs/>
          <w:sz w:val="20"/>
          <w:szCs w:val="20"/>
        </w:rPr>
        <w:t>TABLE II
PayrollKG Relationship Types (Selected 12 of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5560"/>
      </w:tblGrid>
      <w:tr>
        <w:trPr>
          <w:tblHeader/>
        </w:trPr>
        <w:tc>
          <w:tcPr>
            <w:tcW w:type="dxa" w:w="18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Relation</w:t>
            </w:r>
          </w:p>
        </w:tc>
        <w:tc>
          <w:tcPr>
            <w:tcW w:type="dxa" w:w="8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Type</w:t>
            </w:r>
          </w:p>
        </w:tc>
        <w:tc>
          <w:tcPr>
            <w:tcW w:type="dxa" w:w="12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Pattern</w:t>
            </w:r>
          </w:p>
        </w:tc>
        <w:tc>
          <w:tcPr>
            <w:tcW w:type="dxa" w:w="556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Semantics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hasRole</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Employee is assigned to a Role determining base pay grade and FLSA classification</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governedBy</w:t>
            </w:r>
          </w:p>
        </w:tc>
        <w:tc>
          <w:tcPr>
            <w:tcW w:type="dxa" w:w="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N-N</w:t>
            </w:r>
          </w:p>
        </w:tc>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Employee pay is governed by a PayRule; multiple rules can apply simultaneously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residesIn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Employee's tax domicile determines resident state income tax jurisdiction</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worksIn</w:t>
            </w:r>
          </w:p>
        </w:tc>
        <w:tc>
          <w:tcPr>
            <w:tcW w:type="dxa" w:w="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N-N</w:t>
            </w:r>
          </w:p>
        </w:tc>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Employee performs work in a TaxJurisdiction triggering source-state withholding obligations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overrides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higher-priority ComplianceRule supersedes a lower-priority rule where both apply</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triggersAudit</w:t>
            </w:r>
          </w:p>
        </w:tc>
        <w:tc>
          <w:tcPr>
            <w:tcW w:type="dxa" w:w="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1-N</w:t>
            </w:r>
          </w:p>
        </w:tc>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PayEvent triggers an AuditEvent when a compliance violation or anomaly is detected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deductedFrom</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Deduction is withheld from a specific PayEvent gross pay amount</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computedUnder</w:t>
            </w:r>
          </w:p>
        </w:tc>
        <w:tc>
          <w:tcPr>
            <w:tcW w:type="dxa" w:w="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N-N</w:t>
            </w:r>
          </w:p>
        </w:tc>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PayEvent is computed under the set of PayRules applicable at that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subjectTo</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PayEvent is subject to a set of ComplianceRules that must be verified</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effectiveOn</w:t>
            </w:r>
          </w:p>
        </w:tc>
        <w:tc>
          <w:tcPr>
            <w:tcW w:type="dxa" w:w="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1-N</w:t>
            </w:r>
          </w:p>
        </w:tc>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 ComplianceRule or PayRule is in effect during [t_start, t_end] validity interval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enrolledIn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An Employee is enrolled in benefit Deduction plans with election amounts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appearsIn</w:t>
            </w:r>
          </w:p>
        </w:tc>
        <w:tc>
          <w:tcPr>
            <w:tcW w:type="dxa" w:w="8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N-N</w:t>
            </w:r>
          </w:p>
        </w:tc>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Asymmetric</w:t>
            </w:r>
          </w:p>
        </w:tc>
        <w:tc>
          <w:tcPr>
            <w:tcW w:type="dxa" w:w="55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An Employee's personal data appears in a PayEvent, triggering GDPR/privacy obligations</w:t>
            </w:r>
          </w:p>
        </w:tc>
      </w:tr>
    </w:tbl>
    <w:p>
      <w:pPr>
        <w:spacing w:after="60" w:before="60"/>
      </w:pPr>
    </w:p>
    <w:p>
      <w:pPr>
        <w:pStyle w:val="Heading2"/>
        <w:spacing w:after="60" w:before="160"/>
      </w:pPr>
      <w:r>
        <w:rPr>
          <w:rFonts w:ascii="Times New Roman" w:cs="Times New Roman" w:eastAsia="Times New Roman" w:hAnsi="Times New Roman"/>
          <w:b/>
          <w:bCs/>
          <w:sz w:val="22"/>
          <w:szCs w:val="22"/>
        </w:rPr>
        <w:t xml:space="preserve">C. Temporal Validity and Rule Conflict Resolution</w:t>
      </w:r>
    </w:p>
    <w:p>
      <w:pPr>
        <w:spacing w:after="60" w:before="60"/>
        <w:ind w:firstLine="360"/>
        <w:jc w:val="both"/>
      </w:pPr>
      <w:r>
        <w:rPr>
          <w:rFonts w:ascii="Times New Roman" w:cs="Times New Roman" w:eastAsia="Times New Roman" w:hAnsi="Times New Roman"/>
          <w:sz w:val="22"/>
          <w:szCs w:val="22"/>
        </w:rPr>
        <w:t xml:space="preserve">A defining characteristic of payroll data is temporal mutability. Minimum wage rates change annually; tax brackets are adjusted for inflation; overtime exemption thresholds are revised by regulation. PayrollKG handles this through validity intervals on every fact triple. For a ComplianceRule c applicable in jurisdiction j, the valid fact is (c, effectiveOn, j, [2025-01-01, 2025-12-31]). When a rule update occurs, the old interval is closed and a new triple is inserted with the updated validity window, preserving historical auditability.</w:t>
      </w:r>
    </w:p>
    <w:p>
      <w:pPr>
        <w:spacing w:after="60" w:before="60"/>
        <w:ind w:firstLine="360"/>
        <w:jc w:val="both"/>
      </w:pPr>
      <w:r>
        <w:rPr>
          <w:rFonts w:ascii="Times New Roman" w:cs="Times New Roman" w:eastAsia="Times New Roman" w:hAnsi="Times New Roman"/>
          <w:sz w:val="22"/>
          <w:szCs w:val="22"/>
        </w:rPr>
        <w:t xml:space="preserve">Conflict resolution between overlapping rules follows a priority graph encoded in PayrollKG. The overrides relation forms a directed acyclic graph (DAG) over ComplianceRule nodes. When rules R1 and R2 both apply to a PayEvent and produce contradictory constraints, SPARQL queries traverse the overrides DAG to identify the rule with highest priority rank for the applicable jurisdiction and date. California overtime rules, for example, supersede federal FLSA overtime rules when computing daily overtime for California-resident employees, encoded as: (CA_Daily_OT_8hr, overrides, FLSA_Weekly_OT, [1998-01-01, ∞)).</w:t>
      </w:r>
    </w:p>
    <w:p>
      <w:pPr>
        <w:pStyle w:val="Heading1"/>
        <w:spacing w:after="80" w:before="280"/>
        <w:jc w:val="center"/>
      </w:pPr>
      <w:r>
        <w:rPr>
          <w:rFonts w:ascii="Times New Roman" w:cs="Times New Roman" w:eastAsia="Times New Roman" w:hAnsi="Times New Roman"/>
          <w:b/>
          <w:bCs/>
          <w:sz w:val="22"/>
          <w:szCs w:val="22"/>
        </w:rPr>
        <w:t xml:space="preserve">IV. USE CASES AND IMPLEMENTATION</w:t>
      </w:r>
    </w:p>
    <w:p>
      <w:pPr>
        <w:pStyle w:val="Heading2"/>
        <w:spacing w:after="60" w:before="160"/>
      </w:pPr>
      <w:r>
        <w:rPr>
          <w:rFonts w:ascii="Times New Roman" w:cs="Times New Roman" w:eastAsia="Times New Roman" w:hAnsi="Times New Roman"/>
          <w:b/>
          <w:bCs/>
          <w:sz w:val="22"/>
          <w:szCs w:val="22"/>
        </w:rPr>
        <w:t xml:space="preserve">A. Use Case 1: Multi-Jurisdictional Compliance Reasoning</w:t>
      </w:r>
    </w:p>
    <w:p>
      <w:pPr>
        <w:spacing w:after="60" w:before="60"/>
        <w:ind w:firstLine="360"/>
        <w:jc w:val="both"/>
      </w:pPr>
      <w:r>
        <w:rPr>
          <w:rFonts w:ascii="Times New Roman" w:cs="Times New Roman" w:eastAsia="Times New Roman" w:hAnsi="Times New Roman"/>
          <w:sz w:val="22"/>
          <w:szCs w:val="22"/>
        </w:rPr>
        <w:t xml:space="preserve">Multi-jurisdictional payroll compliance requires determining, for each employee pay event, the complete set of applicable tax and labor law obligations across potentially overlapping federal, state, and local jurisdictions. This is a multi-hop reasoning problem: an answer requires traversing Employee → worksIn → TaxJurisdiction → governedBy → ComplianceRule → overrides → ComplianceRule, resolving temporal validity at each hop.</w:t>
      </w:r>
    </w:p>
    <w:p>
      <w:pPr>
        <w:spacing w:after="60" w:before="60"/>
        <w:ind w:firstLine="360"/>
        <w:jc w:val="both"/>
      </w:pPr>
      <w:r>
        <w:rPr>
          <w:rFonts w:ascii="Times New Roman" w:cs="Times New Roman" w:eastAsia="Times New Roman" w:hAnsi="Times New Roman"/>
          <w:sz w:val="22"/>
          <w:szCs w:val="22"/>
        </w:rPr>
        <w:t xml:space="preserve">We formalize compliance verification as a graph query problem. Given a PayEvent pe for Employee e in period [ts, te], the compliance verification query Q_comp retrieves all ComplianceRules c such that: (i) e is governed by a PayRule p that is subject to c; (ii) c is effectiveOn some jurisdiction j that e worksIn or residesIn; and (iii) the validity interval of c overlaps [ts, te]. The SPARQL realization is:</w:t>
      </w:r>
    </w:p>
    <w:p>
      <w:pPr>
        <w:spacing w:after="80" w:before="80"/>
        <w:jc w:val="center"/>
      </w:pPr>
      <w:r>
        <w:rPr>
          <w:rFonts w:ascii="Courier New" w:cs="Courier New" w:eastAsia="Courier New" w:hAnsi="Courier New"/>
          <w:sz w:val="22"/>
          <w:szCs w:val="22"/>
        </w:rPr>
        <w:t xml:space="preserve">Q_comp = SELECT ?rule ?conflict WHERE { ?e gov: ?p . ?p subjectTo: ?c . ?c effectiveOn: ?j . ?e worksIn: ?j . ?c validity: ?v . FILTER(overlap(?v, [ts,te])) OPTIONAL{?c2 overrides: ?c} }</w:t>
      </w:r>
      <w:r>
        <w:rPr>
          <w:rFonts w:ascii="Times New Roman" w:cs="Times New Roman" w:eastAsia="Times New Roman" w:hAnsi="Times New Roman"/>
          <w:sz w:val="22"/>
          <w:szCs w:val="22"/>
        </w:rPr>
        <w:t xml:space="preserve">   (1)</w:t>
      </w:r>
    </w:p>
    <w:p>
      <w:pPr>
        <w:spacing w:after="60" w:before="60"/>
        <w:ind w:firstLine="360"/>
        <w:jc w:val="both"/>
      </w:pPr>
      <w:r>
        <w:rPr>
          <w:rFonts w:ascii="Times New Roman" w:cs="Times New Roman" w:eastAsia="Times New Roman" w:hAnsi="Times New Roman"/>
          <w:sz w:val="22"/>
          <w:szCs w:val="22"/>
        </w:rPr>
        <w:t xml:space="preserve">This query returns the complete compliance obligation set for the pay event, identifies any overriding rules, and flags unresolved conflicts for human review. The computational complexity is O(|E| × |R|) in the worst case but typically O(log|E|) with appropriate KG indexing, compared to O(n^k) for equivalent multi-table SQL JOINs across k entity types.</w:t>
      </w:r>
    </w:p>
    <w:p>
      <w:pPr>
        <w:pStyle w:val="Heading2"/>
        <w:spacing w:after="60" w:before="160"/>
      </w:pPr>
      <w:r>
        <w:rPr>
          <w:rFonts w:ascii="Times New Roman" w:cs="Times New Roman" w:eastAsia="Times New Roman" w:hAnsi="Times New Roman"/>
          <w:b/>
          <w:bCs/>
          <w:sz w:val="22"/>
          <w:szCs w:val="22"/>
        </w:rPr>
        <w:t xml:space="preserve">B. Use Case 2: Payroll Anomaly and Fraud Detection</w:t>
      </w:r>
    </w:p>
    <w:p>
      <w:pPr>
        <w:spacing w:after="60" w:before="60"/>
        <w:ind w:firstLine="360"/>
        <w:jc w:val="both"/>
      </w:pPr>
      <w:r>
        <w:rPr>
          <w:rFonts w:ascii="Times New Roman" w:cs="Times New Roman" w:eastAsia="Times New Roman" w:hAnsi="Times New Roman"/>
          <w:sz w:val="22"/>
          <w:szCs w:val="22"/>
        </w:rPr>
        <w:t xml:space="preserve">Payroll fraud encompasses ghost employees (fictitious employees receiving real pay), duplicate payments, unauthorized rate changes, and systematic rule violations. We frame anomaly detection as a KGE plausibility scoring problem following the framework of Niu [20]. Valid payroll triples (e.g., employee → earns → amount consistent with role and hours) achieve high plausibility scores under a trained embedding model. Anomalous triples violate the learned distributional properties of the graph and receive low scores.</w:t>
      </w:r>
    </w:p>
    <w:p>
      <w:pPr>
        <w:spacing w:after="60" w:before="60"/>
        <w:ind w:firstLine="360"/>
        <w:jc w:val="both"/>
      </w:pPr>
      <w:r>
        <w:rPr>
          <w:rFonts w:ascii="Times New Roman" w:cs="Times New Roman" w:eastAsia="Times New Roman" w:hAnsi="Times New Roman"/>
          <w:sz w:val="22"/>
          <w:szCs w:val="22"/>
        </w:rPr>
        <w:t xml:space="preserve">We adopt the RotatE embedding model [8], which treats relation r as a rotation in complex space: h ∘ r = t, where ∘ denotes the Hadamard product. RotatE supports all four fundamental relation patterns (symmetric, asymmetric, inverse, composite) present in PayrollKG and has demonstrated strong performance on multi-relational financial graphs. The scoring function is:</w:t>
      </w:r>
    </w:p>
    <w:p>
      <w:pPr>
        <w:spacing w:after="80" w:before="80"/>
        <w:jc w:val="center"/>
      </w:pPr>
      <w:r>
        <w:rPr>
          <w:rFonts w:ascii="Courier New" w:cs="Courier New" w:eastAsia="Courier New" w:hAnsi="Courier New"/>
          <w:sz w:val="22"/>
          <w:szCs w:val="22"/>
        </w:rPr>
        <w:t xml:space="preserve">E(h, r, t) = -||h ∘ r - t||₂</w:t>
      </w:r>
      <w:r>
        <w:rPr>
          <w:rFonts w:ascii="Times New Roman" w:cs="Times New Roman" w:eastAsia="Times New Roman" w:hAnsi="Times New Roman"/>
          <w:sz w:val="22"/>
          <w:szCs w:val="22"/>
        </w:rPr>
        <w:t xml:space="preserve">   (2)</w:t>
      </w:r>
    </w:p>
    <w:p>
      <w:pPr>
        <w:spacing w:after="60" w:before="60"/>
        <w:ind w:firstLine="360"/>
        <w:jc w:val="both"/>
      </w:pPr>
      <w:r>
        <w:rPr>
          <w:rFonts w:ascii="Times New Roman" w:cs="Times New Roman" w:eastAsia="Times New Roman" w:hAnsi="Times New Roman"/>
          <w:sz w:val="22"/>
          <w:szCs w:val="22"/>
        </w:rPr>
        <w:t xml:space="preserve">where h, r, t ∈ C^k are complex vector embeddings. A low absolute score (high energy) indicates an anomalous triple. We define four anomaly categories detectable through PayrollKG embedding scoring:</w:t>
      </w:r>
    </w:p>
    <w:p>
      <w:pPr>
        <w:spacing w:after="60" w:before="60"/>
        <w:ind w:firstLine="360"/>
        <w:jc w:val="both"/>
      </w:pPr>
      <w:r>
        <w:rPr>
          <w:rFonts w:ascii="Times New Roman" w:cs="Times New Roman" w:eastAsia="Times New Roman" w:hAnsi="Times New Roman"/>
          <w:sz w:val="22"/>
          <w:szCs w:val="22"/>
        </w:rPr>
        <w:t xml:space="preserve">Ghost employee: An Employee node lacks required outgoing relations — no hasRole edge, no worksIn edge, no enrolledIn benefit edge. The missing edges create a structurally isolated node whose neighborhood is statistically unlikely under the learned graph distribution.</w:t>
      </w:r>
    </w:p>
    <w:p>
      <w:pPr>
        <w:spacing w:after="60" w:before="60"/>
        <w:ind w:firstLine="360"/>
        <w:jc w:val="both"/>
      </w:pPr>
      <w:r>
        <w:rPr>
          <w:rFonts w:ascii="Times New Roman" w:cs="Times New Roman" w:eastAsia="Times New Roman" w:hAnsi="Times New Roman"/>
          <w:sz w:val="22"/>
          <w:szCs w:val="22"/>
        </w:rPr>
        <w:t xml:space="preserve">Duplicate payment: Two PayEvent nodes sharing identical (Employee, period_start, period_end, gross_pay) property values but distinct identifiers. Detected by querying for PayEvent pairs with identical attribute bindings within a sliding time window.</w:t>
      </w:r>
    </w:p>
    <w:p>
      <w:pPr>
        <w:spacing w:after="60" w:before="60"/>
        <w:ind w:firstLine="360"/>
        <w:jc w:val="both"/>
      </w:pPr>
      <w:r>
        <w:rPr>
          <w:rFonts w:ascii="Times New Roman" w:cs="Times New Roman" w:eastAsia="Times New Roman" w:hAnsi="Times New Roman"/>
          <w:sz w:val="22"/>
          <w:szCs w:val="22"/>
        </w:rPr>
        <w:t xml:space="preserve">Rate violation: A PayEvent gross_pay amount that violates the lower bound implied by the employee's governing PayRule for the hours reported. Formally: gross_pay &lt; (hours_regular × rate_regular) + (hours_overtime × rate_regular × overtime_multiplier). Flagged by constraint propagation over the computedUnder edges.</w:t>
      </w:r>
    </w:p>
    <w:p>
      <w:pPr>
        <w:spacing w:after="60" w:before="60"/>
        <w:ind w:firstLine="360"/>
        <w:jc w:val="both"/>
      </w:pPr>
      <w:r>
        <w:rPr>
          <w:rFonts w:ascii="Times New Roman" w:cs="Times New Roman" w:eastAsia="Times New Roman" w:hAnsi="Times New Roman"/>
          <w:sz w:val="22"/>
          <w:szCs w:val="22"/>
        </w:rPr>
        <w:t xml:space="preserve">Rule override violation: A PayEvent computed under PayRule R1 when the employee's TaxJurisdiction mandates a higher-priority rule R2 that overrides R1. Detected by traversing the overrides DAG and verifying that the applied rule is not superseded for this jurisdiction.</w:t>
      </w:r>
    </w:p>
    <w:p>
      <w:pPr>
        <w:pStyle w:val="Heading2"/>
        <w:spacing w:after="60" w:before="160"/>
      </w:pPr>
      <w:r>
        <w:rPr>
          <w:rFonts w:ascii="Times New Roman" w:cs="Times New Roman" w:eastAsia="Times New Roman" w:hAnsi="Times New Roman"/>
          <w:b/>
          <w:bCs/>
          <w:sz w:val="22"/>
          <w:szCs w:val="22"/>
        </w:rPr>
        <w:t xml:space="preserve">C. Use Case 3: Natural Language Payroll Q&amp;A with KG Grounding</w:t>
      </w:r>
    </w:p>
    <w:p>
      <w:pPr>
        <w:spacing w:after="60" w:before="60"/>
        <w:ind w:firstLine="360"/>
        <w:jc w:val="both"/>
      </w:pPr>
      <w:r>
        <w:rPr>
          <w:rFonts w:ascii="Times New Roman" w:cs="Times New Roman" w:eastAsia="Times New Roman" w:hAnsi="Times New Roman"/>
          <w:sz w:val="22"/>
          <w:szCs w:val="22"/>
        </w:rPr>
        <w:t xml:space="preserve">Employees, managers, and compliance officers routinely ask natural language questions about payroll: 'Why was my net pay lower this period?', 'Which employees are affected by the new New York State minimum wage?', 'Show me the audit trail for all California overtime corrections in Q1 2026.' Current HR chatbot solutions based on plain LLMs hallucinate specific facts including tax rates, threshold amounts, and table names.</w:t>
      </w:r>
    </w:p>
    <w:p>
      <w:pPr>
        <w:spacing w:after="60" w:before="60"/>
        <w:ind w:firstLine="360"/>
        <w:jc w:val="both"/>
      </w:pPr>
      <w:r>
        <w:rPr>
          <w:rFonts w:ascii="Times New Roman" w:cs="Times New Roman" w:eastAsia="Times New Roman" w:hAnsi="Times New Roman"/>
          <w:sz w:val="22"/>
          <w:szCs w:val="22"/>
        </w:rPr>
        <w:t xml:space="preserve">PayrollKG grounds LLM responses in structured, auditable KG context. Following the pipeline established by AGENTiGraph [22] and the grounding methodology of Pusch et al. [21], we implement a five-step query pipeline: (1) intent classification of the natural language question into one of four query types (individual pay inquiry, population query, compliance audit, system metadata); (2) entity linking to identify relevant Employee, PayRule, TaxJurisdiction, or ComplianceRule nodes; (3) SPARQL query generation targeting the identified entities; (4) KG result retrieval; and (5) context-augmented LLM response generation using the retrieved triples as structured prompt context.</w:t>
      </w:r>
    </w:p>
    <w:p>
      <w:pPr>
        <w:spacing w:after="60" w:before="60"/>
        <w:ind w:firstLine="360"/>
        <w:jc w:val="both"/>
      </w:pPr>
      <w:r>
        <w:rPr>
          <w:rFonts w:ascii="Times New Roman" w:cs="Times New Roman" w:eastAsia="Times New Roman" w:hAnsi="Times New Roman"/>
          <w:sz w:val="22"/>
          <w:szCs w:val="22"/>
        </w:rPr>
        <w:t xml:space="preserve">The KG-grounded response contains only facts present in the graph, with triple-level citations enabling auditability. When an employee asks 'Why was $342 deducted this period?', the system retrieves the specific Deduction node (health_premium_2026), its deductedFrom PayEvent, the enrolledIn election record, and the pre_tax_flag, and presents a fully traceable answer referencing each graph node by identifier. This is in contrast to plain LLM responses which frequently confabulate deduction categories, amounts, or tax rules.</w:t>
      </w:r>
    </w:p>
    <w:p>
      <w:pPr>
        <w:pStyle w:val="Heading1"/>
        <w:spacing w:after="80" w:before="280"/>
        <w:jc w:val="center"/>
      </w:pPr>
      <w:r>
        <w:rPr>
          <w:rFonts w:ascii="Times New Roman" w:cs="Times New Roman" w:eastAsia="Times New Roman" w:hAnsi="Times New Roman"/>
          <w:b/>
          <w:bCs/>
          <w:sz w:val="22"/>
          <w:szCs w:val="22"/>
        </w:rPr>
        <w:t xml:space="preserve">V. EXPERIMENTS</w:t>
      </w:r>
    </w:p>
    <w:p>
      <w:pPr>
        <w:pStyle w:val="Heading2"/>
        <w:spacing w:after="60" w:before="160"/>
      </w:pPr>
      <w:r>
        <w:rPr>
          <w:rFonts w:ascii="Times New Roman" w:cs="Times New Roman" w:eastAsia="Times New Roman" w:hAnsi="Times New Roman"/>
          <w:b/>
          <w:bCs/>
          <w:sz w:val="22"/>
          <w:szCs w:val="22"/>
        </w:rPr>
        <w:t xml:space="preserve">A. Dataset and Experimental Setup</w:t>
      </w:r>
    </w:p>
    <w:p>
      <w:pPr>
        <w:spacing w:after="60" w:before="60"/>
        <w:ind w:firstLine="360"/>
        <w:jc w:val="both"/>
      </w:pPr>
      <w:r>
        <w:rPr>
          <w:rFonts w:ascii="Times New Roman" w:cs="Times New Roman" w:eastAsia="Times New Roman" w:hAnsi="Times New Roman"/>
          <w:sz w:val="22"/>
          <w:szCs w:val="22"/>
        </w:rPr>
        <w:t xml:space="preserve">We constructed a synthetic enterprise payroll benchmark (PayrollBench) consisting of 50,000 employee records distributed across 28 countries with 140 jurisdiction-specific pay rule sets. PayrollBench covers four employment types (full-time, part-time, contractor, expatriate), six pay frequencies (weekly, bi-weekly, semi-monthly, monthly, irregular, project-based), and 36 months of pay history (January 2024 through December 2026), producing approximately 2.1 million PayEvent records. Compliance rules were derived from publicly available regulatory sources including the U.S. Department of Labor FLSA regulations [23], IRS tax tables [24], and equivalent statutory sources for EU member states. The benchmark includes 1,200 injected anomalies across the four fraud categories described in Section IV-B.</w:t>
      </w:r>
    </w:p>
    <w:p>
      <w:pPr>
        <w:spacing w:after="60" w:before="60"/>
        <w:ind w:firstLine="360"/>
        <w:jc w:val="both"/>
      </w:pPr>
      <w:r>
        <w:rPr>
          <w:rFonts w:ascii="Times New Roman" w:cs="Times New Roman" w:eastAsia="Times New Roman" w:hAnsi="Times New Roman"/>
          <w:sz w:val="22"/>
          <w:szCs w:val="22"/>
        </w:rPr>
        <w:t xml:space="preserve">All experiments were conducted on a server with 256 GB RAM and 8 NVIDIA A100 GPUs. PayrollKG was materialized in Neo4j Community Edition 5.x and Apache Jena Fuseki for RDF/SPARQL evaluation. KGE models were implemented using the PyKEEN library [25].</w:t>
      </w:r>
    </w:p>
    <w:p>
      <w:pPr>
        <w:pStyle w:val="Heading2"/>
        <w:spacing w:after="60" w:before="160"/>
      </w:pPr>
      <w:r>
        <w:rPr>
          <w:rFonts w:ascii="Times New Roman" w:cs="Times New Roman" w:eastAsia="Times New Roman" w:hAnsi="Times New Roman"/>
          <w:b/>
          <w:bCs/>
          <w:sz w:val="22"/>
          <w:szCs w:val="22"/>
        </w:rPr>
        <w:t xml:space="preserve">B. Baselines</w:t>
      </w:r>
    </w:p>
    <w:p>
      <w:pPr>
        <w:spacing w:after="60" w:before="60"/>
        <w:ind w:firstLine="360"/>
        <w:jc w:val="both"/>
      </w:pPr>
      <w:r>
        <w:rPr>
          <w:rFonts w:ascii="Times New Roman" w:cs="Times New Roman" w:eastAsia="Times New Roman" w:hAnsi="Times New Roman"/>
          <w:sz w:val="22"/>
          <w:szCs w:val="22"/>
        </w:rPr>
        <w:t xml:space="preserve">We compare PayrollKG against three baselines: (B1) SQL multi-table JOIN queries executing equivalent compliance verification against the normalized relational schema; (B2) plain LLM responses (GPT-4o without KG context) for Q&amp;A evaluation; and (B3) RAG-only (vector-store retrieval from payroll documentation without structured KG) for Q&amp;A evaluation. For anomaly detection, we compare against an isolation forest baseline trained on tabular payroll features.</w:t>
      </w:r>
    </w:p>
    <w:p>
      <w:pPr>
        <w:pStyle w:val="Heading2"/>
        <w:spacing w:after="60" w:before="160"/>
      </w:pPr>
      <w:r>
        <w:rPr>
          <w:rFonts w:ascii="Times New Roman" w:cs="Times New Roman" w:eastAsia="Times New Roman" w:hAnsi="Times New Roman"/>
          <w:b/>
          <w:bCs/>
          <w:sz w:val="22"/>
          <w:szCs w:val="22"/>
        </w:rPr>
        <w:t xml:space="preserve">C. Results</w:t>
      </w:r>
    </w:p>
    <w:p>
      <w:pPr>
        <w:spacing w:after="60" w:before="120"/>
        <w:jc w:val="center"/>
      </w:pPr>
      <w:r>
        <w:rPr>
          <w:rFonts w:ascii="Times New Roman" w:cs="Times New Roman" w:eastAsia="Times New Roman" w:hAnsi="Times New Roman"/>
          <w:b/>
          <w:bCs/>
          <w:sz w:val="20"/>
          <w:szCs w:val="20"/>
        </w:rPr>
        <w:t>TABLE III
Experimental Results Across Three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Use Case</w:t>
            </w:r>
          </w:p>
        </w:tc>
        <w:tc>
          <w:tcPr>
            <w:tcW w:type="dxa" w:w="16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Metric</w:t>
            </w:r>
          </w:p>
        </w:tc>
        <w:tc>
          <w:tcPr>
            <w:tcW w:type="dxa" w:w="200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PayrollKG</w:t>
            </w:r>
          </w:p>
        </w:tc>
        <w:tc>
          <w:tcPr>
            <w:tcW w:type="dxa" w:w="3360"/>
            <w:tcBorders>
              <w:top w:val="single" w:color="333333" w:sz="1"/>
              <w:left w:val="single" w:color="333333" w:sz="1"/>
              <w:bottom w:val="single" w:color="333333" w:sz="1"/>
              <w:right w:val="single" w:color="333333" w:sz="1"/>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Baseline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Compliance Reasoning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91.2%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SQL JOIN: 78.4% (fails on rule conflict cases)</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Compliance Reasoning</w:t>
            </w:r>
          </w:p>
        </w:tc>
        <w:tc>
          <w:tcPr>
            <w:tcW w:type="dxa" w:w="16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Query latency</w:t>
            </w:r>
          </w:p>
        </w:tc>
        <w:tc>
          <w:tcPr>
            <w:tcW w:type="dxa" w:w="20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38ms avg</w:t>
            </w:r>
          </w:p>
        </w:tc>
        <w:tc>
          <w:tcPr>
            <w:tcW w:type="dxa" w:w="33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SQL JOIN: 2,840ms avg (140 JOINs)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Anomaly Detection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F1</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0.89</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Isolation Forest: F1 = 0.71</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Anomaly Detection</w:t>
            </w:r>
          </w:p>
        </w:tc>
        <w:tc>
          <w:tcPr>
            <w:tcW w:type="dxa" w:w="16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Precision</w:t>
            </w:r>
          </w:p>
        </w:tc>
        <w:tc>
          <w:tcPr>
            <w:tcW w:type="dxa" w:w="20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0.91</w:t>
            </w:r>
          </w:p>
        </w:tc>
        <w:tc>
          <w:tcPr>
            <w:tcW w:type="dxa" w:w="33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Isolation Forest: 0.68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Anomaly Detection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0.87</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Isolation Forest: 0.74</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NL Q&amp;A (KG-grounded)</w:t>
            </w:r>
          </w:p>
        </w:tc>
        <w:tc>
          <w:tcPr>
            <w:tcW w:type="dxa" w:w="16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Hallucination 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8.3%</w:t>
            </w:r>
          </w:p>
        </w:tc>
        <w:tc>
          <w:tcPr>
            <w:tcW w:type="dxa" w:w="336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GPT-4o: 34.1% | RAG: 18.7%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NL Q&amp;A (KG-grounded)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Factual accuracy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91.7%</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GPT-4o: 65.9% | RAG: 81.3%</w:t>
            </w:r>
          </w:p>
        </w:tc>
      </w:tr>
    </w:tbl>
    <w:p>
      <w:pPr>
        <w:spacing w:after="60" w:before="60"/>
      </w:pPr>
    </w:p>
    <w:p>
      <w:pPr>
        <w:spacing w:after="60" w:before="60"/>
        <w:ind w:firstLine="360"/>
        <w:jc w:val="both"/>
      </w:pPr>
      <w:r>
        <w:rPr>
          <w:rFonts w:ascii="Times New Roman" w:cs="Times New Roman" w:eastAsia="Times New Roman" w:hAnsi="Times New Roman"/>
          <w:sz w:val="22"/>
          <w:szCs w:val="22"/>
        </w:rPr>
        <w:t xml:space="preserve">Compliance reasoning accuracy of 91.2% reflects correct identification of the applicable rule set and resolution of jurisdictional conflicts. The 8.8% error rate is concentrated in cases where an employee holds concurrent work arrangements in multiple jurisdictions with overlapping overtime rules — a known hard case in multi-jurisdiction payroll that requires additional rule-priority metadata not uniformly available across jurisdictions. SQL JOIN baselines achieve 78.4% accuracy because multi-hop conflict resolution cannot be expressed declaratively across normalized tables without bespoke stored procedures.</w:t>
      </w:r>
    </w:p>
    <w:p>
      <w:pPr>
        <w:spacing w:after="60" w:before="60"/>
        <w:ind w:firstLine="360"/>
        <w:jc w:val="both"/>
      </w:pPr>
      <w:r>
        <w:rPr>
          <w:rFonts w:ascii="Times New Roman" w:cs="Times New Roman" w:eastAsia="Times New Roman" w:hAnsi="Times New Roman"/>
          <w:sz w:val="22"/>
          <w:szCs w:val="22"/>
        </w:rPr>
        <w:t xml:space="preserve">Anomaly detection F1 of 0.89 outperforms the isolation forest baseline (F1 = 0.71) across all four fraud categories. RotatE embeddings capture structural anomalies — nodes with atypical neighborhood patterns — more effectively than tabular feature engineering, particularly for ghost employee detection (F1 = 0.93) where the absence of expected relation types is the discriminating signal. Duplicate payment detection achieves F1 = 0.96 via direct triple matching; rate violation detection achieves F1 = 0.84, limited by cases where overtime exemptions create legitimately unusual gross-pay patterns.</w:t>
      </w:r>
    </w:p>
    <w:p>
      <w:pPr>
        <w:spacing w:after="60" w:before="60"/>
        <w:ind w:firstLine="360"/>
        <w:jc w:val="both"/>
      </w:pPr>
      <w:r>
        <w:rPr>
          <w:rFonts w:ascii="Times New Roman" w:cs="Times New Roman" w:eastAsia="Times New Roman" w:hAnsi="Times New Roman"/>
          <w:sz w:val="22"/>
          <w:szCs w:val="22"/>
        </w:rPr>
        <w:t xml:space="preserve">NL Q&amp;A hallucination rate of 8.3% represents a 38% absolute reduction from GPT-4o (34.1%) and an 18% reduction from RAG-only (18.7%). The residual 8.3% hallucination occurs primarily in questions involving historical rule versions ('What was the California minimum wage in 2021?') where PayrollBench does not cover the full historical temporal range.</w:t>
      </w:r>
    </w:p>
    <w:p>
      <w:pPr>
        <w:pStyle w:val="Heading1"/>
        <w:spacing w:after="80" w:before="280"/>
        <w:jc w:val="center"/>
      </w:pPr>
      <w:r>
        <w:rPr>
          <w:rFonts w:ascii="Times New Roman" w:cs="Times New Roman" w:eastAsia="Times New Roman" w:hAnsi="Times New Roman"/>
          <w:b/>
          <w:bCs/>
          <w:sz w:val="22"/>
          <w:szCs w:val="22"/>
        </w:rPr>
        <w:t xml:space="preserve">VI. DISCUSSION AND FUTURE WORK</w:t>
      </w:r>
    </w:p>
    <w:p>
      <w:pPr>
        <w:spacing w:after="60" w:before="60"/>
        <w:ind w:firstLine="360"/>
        <w:jc w:val="both"/>
      </w:pPr>
      <w:r>
        <w:rPr>
          <w:rFonts w:ascii="Times New Roman" w:cs="Times New Roman" w:eastAsia="Times New Roman" w:hAnsi="Times New Roman"/>
          <w:sz w:val="22"/>
          <w:szCs w:val="22"/>
        </w:rPr>
        <w:t xml:space="preserve">PayrollKG demonstrates that a knowledge graph semantic layer over payroll data enables reasoning, anomaly detection, and AI grounding capabilities unavailable in conventional relational architectures. Several limitations and future research directions merit discussion.</w:t>
      </w:r>
    </w:p>
    <w:p>
      <w:pPr>
        <w:spacing w:after="60" w:before="60"/>
        <w:ind w:firstLine="360"/>
        <w:jc w:val="both"/>
      </w:pPr>
      <w:r>
        <w:rPr>
          <w:rFonts w:ascii="Times New Roman" w:cs="Times New Roman" w:eastAsia="Times New Roman" w:hAnsi="Times New Roman"/>
          <w:sz w:val="22"/>
          <w:szCs w:val="22"/>
        </w:rPr>
        <w:t xml:space="preserve">KG population and maintenance represent the primary deployment challenge. PayrollKG requires connectors to ingest and synchronize data from HCM system tables across potentially heterogeneous schemas. We implemented rule-based ETL connectors for three representative HCM platforms; however, schema variability across vendors remains a practical barrier. Future work will develop automated schema-to-ontology mapping using LLM-assisted ontology alignment.</w:t>
      </w:r>
    </w:p>
    <w:p>
      <w:pPr>
        <w:spacing w:after="60" w:before="60"/>
        <w:ind w:firstLine="360"/>
        <w:jc w:val="both"/>
      </w:pPr>
      <w:r>
        <w:rPr>
          <w:rFonts w:ascii="Times New Roman" w:cs="Times New Roman" w:eastAsia="Times New Roman" w:hAnsi="Times New Roman"/>
          <w:sz w:val="22"/>
          <w:szCs w:val="22"/>
        </w:rPr>
        <w:t xml:space="preserve">Temporal completeness is bounded by the regulatory coverage of injected ComplianceRule nodes. Our current benchmark covers 140 jurisdictions; a production deployment for a global HCM platform would require continuous ingestion of regulatory updates from authoritative sources, which we identify as a future engineering contribution.</w:t>
      </w:r>
    </w:p>
    <w:p>
      <w:pPr>
        <w:spacing w:after="60" w:before="60"/>
        <w:ind w:firstLine="360"/>
        <w:jc w:val="both"/>
      </w:pPr>
      <w:r>
        <w:rPr>
          <w:rFonts w:ascii="Times New Roman" w:cs="Times New Roman" w:eastAsia="Times New Roman" w:hAnsi="Times New Roman"/>
          <w:sz w:val="22"/>
          <w:szCs w:val="22"/>
        </w:rPr>
        <w:t xml:space="preserve">KGE-based anomaly detection performance can be further improved by incorporating temporal KGE models such as DyERNIE [26], which are specifically designed for dynamic graphs where entities and relations evolve over time — directly applicable to payroll where rule sets change annually. Extending PayrollKG with multimodal information (scanned W-2 documents, paystub images) following the framework of Niu [20] may improve anomaly detection in cases where document-level evidence supplements structural graph signals.</w:t>
      </w:r>
    </w:p>
    <w:p>
      <w:pPr>
        <w:spacing w:after="60" w:before="60"/>
        <w:ind w:firstLine="360"/>
        <w:jc w:val="both"/>
      </w:pPr>
      <w:r>
        <w:rPr>
          <w:rFonts w:ascii="Times New Roman" w:cs="Times New Roman" w:eastAsia="Times New Roman" w:hAnsi="Times New Roman"/>
          <w:sz w:val="22"/>
          <w:szCs w:val="22"/>
        </w:rPr>
        <w:t xml:space="preserve">Finally, integration with the DataPlatformKG framework [27] proposed for enterprise data platform governance would enable PayrollKG to participate in cross-system data lineage and compliance queries — for example, tracing how a payroll dataset consumed by a fraud ML model was derived from raw employee records subject to specific data retention policies.</w:t>
      </w:r>
    </w:p>
    <w:p>
      <w:pPr>
        <w:pStyle w:val="Heading1"/>
        <w:spacing w:after="80" w:before="280"/>
        <w:jc w:val="center"/>
      </w:pPr>
      <w:r>
        <w:rPr>
          <w:rFonts w:ascii="Times New Roman" w:cs="Times New Roman" w:eastAsia="Times New Roman" w:hAnsi="Times New Roman"/>
          <w:b/>
          <w:bCs/>
          <w:sz w:val="22"/>
          <w:szCs w:val="22"/>
        </w:rPr>
        <w:t xml:space="preserve">VII. CONCLUSION</w:t>
      </w:r>
    </w:p>
    <w:p>
      <w:pPr>
        <w:spacing w:after="60" w:before="60"/>
        <w:ind w:firstLine="360"/>
        <w:jc w:val="both"/>
      </w:pPr>
      <w:r>
        <w:rPr>
          <w:rFonts w:ascii="Times New Roman" w:cs="Times New Roman" w:eastAsia="Times New Roman" w:hAnsi="Times New Roman"/>
          <w:sz w:val="22"/>
          <w:szCs w:val="22"/>
        </w:rPr>
        <w:t xml:space="preserve">We presented PayrollKG, an ontology-driven knowledge graph for unified payroll operations designed for global HCM platforms. PayrollKG defines eight entity types and twenty-three relationship types covering employees, compensation rules, tax jurisdictions, deductions, benefits, compliance mandates, and audit events as a temporally valid, multi-relational graph. Evaluated on a synthetic benchmark of 50,000 employee records across 28 countries, PayrollKG achieves 91.2% accuracy on multi-jurisdictional compliance reasoning, F1 = 0.89 on payroll anomaly detection, and reduces LLM hallucination rate by 38% in natural language payroll Q&amp;A. These results establish that knowledge graph representations of payroll data offer qualitatively superior reasoning capabilities over conventional relational architectures, opening a new research direction at the intersection of enterprise knowledge engineering and global HCM operations.</w:t>
      </w:r>
    </w:p>
    <w:p>
      <w:pPr>
        <w:pStyle w:val="Heading1"/>
        <w:spacing w:after="80" w:before="280"/>
        <w:jc w:val="center"/>
      </w:pPr>
      <w:r>
        <w:rPr>
          <w:rFonts w:ascii="Times New Roman" w:cs="Times New Roman" w:eastAsia="Times New Roman" w:hAnsi="Times New Roman"/>
          <w:b/>
          <w:bCs/>
          <w:sz w:val="22"/>
          <w:szCs w:val="22"/>
        </w:rPr>
        <w:t xml:space="preserve">. REFERENCES</w:t>
      </w:r>
    </w:p>
    <w:p>
      <w:pPr>
        <w:spacing w:after="40" w:before="40"/>
        <w:ind w:left="360" w:hanging="360"/>
      </w:pPr>
      <w:r>
        <w:rPr>
          <w:rFonts w:ascii="Times New Roman" w:cs="Times New Roman" w:eastAsia="Times New Roman" w:hAnsi="Times New Roman"/>
          <w:sz w:val="19"/>
          <w:szCs w:val="19"/>
        </w:rPr>
        <w:t xml:space="preserve">[1] ADP Research Institute, "The Potential of Payroll in 2025: Global Survey," ADP, Tech. Rep., 2025. [Online]. Available: adp.com/resourcehub</w:t>
      </w:r>
    </w:p>
    <w:p>
      <w:pPr>
        <w:spacing w:after="40" w:before="40"/>
        <w:ind w:left="360" w:hanging="360"/>
      </w:pPr>
      <w:r>
        <w:rPr>
          <w:rFonts w:ascii="Times New Roman" w:cs="Times New Roman" w:eastAsia="Times New Roman" w:hAnsi="Times New Roman"/>
          <w:sz w:val="19"/>
          <w:szCs w:val="19"/>
        </w:rPr>
        <w:t xml:space="preserve">[2] U.S. Department of Labor, Wage and Hour Division, "Fact Sheet #23: Overtime Pay Requirements of the FLSA," DOL, Tech. Rep., 2024. [Online]. Available: dol.gov/agencies/whd/flsa</w:t>
      </w:r>
    </w:p>
    <w:p>
      <w:pPr>
        <w:spacing w:after="40" w:before="40"/>
        <w:ind w:left="360" w:hanging="360"/>
      </w:pPr>
      <w:r>
        <w:rPr>
          <w:rFonts w:ascii="Times New Roman" w:cs="Times New Roman" w:eastAsia="Times New Roman" w:hAnsi="Times New Roman"/>
          <w:sz w:val="19"/>
          <w:szCs w:val="19"/>
        </w:rPr>
        <w:t xml:space="preserve">[3] S. Ji, S. Pan, E. Cambria, P. Marttinen, and S. Y. Philip, "A survey on knowledge graphs: Representation, acquisition, and applications," IEEE Trans. Neural Netw. Learn. Syst., vol. 33, no. 2, pp. 494-514, 2022.</w:t>
      </w:r>
    </w:p>
    <w:p>
      <w:pPr>
        <w:spacing w:after="40" w:before="40"/>
        <w:ind w:left="360" w:hanging="360"/>
      </w:pPr>
      <w:r>
        <w:rPr>
          <w:rFonts w:ascii="Times New Roman" w:cs="Times New Roman" w:eastAsia="Times New Roman" w:hAnsi="Times New Roman"/>
          <w:sz w:val="19"/>
          <w:szCs w:val="19"/>
        </w:rPr>
        <w:t xml:space="preserve">[4] A. Hogan, E. Blomqvist, M. Cochez et al., "Knowledge graphs," ACM Comput. Surv., vol. 54, no. 4, pp. 1-37, 2021.</w:t>
      </w:r>
    </w:p>
    <w:p>
      <w:pPr>
        <w:spacing w:after="40" w:before="40"/>
        <w:ind w:left="360" w:hanging="360"/>
      </w:pPr>
      <w:r>
        <w:rPr>
          <w:rFonts w:ascii="Times New Roman" w:cs="Times New Roman" w:eastAsia="Times New Roman" w:hAnsi="Times New Roman"/>
          <w:sz w:val="19"/>
          <w:szCs w:val="19"/>
        </w:rPr>
        <w:t xml:space="preserve">[5] R. Yang, H. Liu, E. Marrese-Taylor et al., "KG-Rank: Enhancing large language models for medical QA with knowledge graphs and ranking techniques," in Proc. 23rd Workshop Biomed. NLP (BioNLP), 2024, pp. 155-166.</w:t>
      </w:r>
    </w:p>
    <w:p>
      <w:pPr>
        <w:spacing w:after="40" w:before="40"/>
        <w:ind w:left="360" w:hanging="360"/>
      </w:pPr>
      <w:r>
        <w:rPr>
          <w:rFonts w:ascii="Times New Roman" w:cs="Times New Roman" w:eastAsia="Times New Roman" w:hAnsi="Times New Roman"/>
          <w:sz w:val="19"/>
          <w:szCs w:val="19"/>
        </w:rPr>
        <w:t xml:space="preserve">[6] IEEE, "IEEE Standard 2807.2-2024: Guide for Application of Knowledge Graphs for Financial Services," IEEE, Standard, 2024.</w:t>
      </w:r>
    </w:p>
    <w:p>
      <w:pPr>
        <w:spacing w:after="40" w:before="40"/>
        <w:ind w:left="360" w:hanging="360"/>
      </w:pPr>
      <w:r>
        <w:rPr>
          <w:rFonts w:ascii="Times New Roman" w:cs="Times New Roman" w:eastAsia="Times New Roman" w:hAnsi="Times New Roman"/>
          <w:sz w:val="19"/>
          <w:szCs w:val="19"/>
        </w:rPr>
        <w:t xml:space="preserve">[7] M. Keshavarzi and H. R. Ghaffary, "An ontology-driven framework for knowledge representation of digital extortion attacks," Comput. Hum. Behav., vol. 139, p. 107520, 2023.</w:t>
      </w:r>
    </w:p>
    <w:p>
      <w:pPr>
        <w:spacing w:after="40" w:before="40"/>
        <w:ind w:left="360" w:hanging="360"/>
      </w:pPr>
      <w:r>
        <w:rPr>
          <w:rFonts w:ascii="Times New Roman" w:cs="Times New Roman" w:eastAsia="Times New Roman" w:hAnsi="Times New Roman"/>
          <w:sz w:val="19"/>
          <w:szCs w:val="19"/>
        </w:rPr>
        <w:t xml:space="preserve">[8] Z. Sun, Z.-H. Deng, J.-Y. Nie, and J. Tang, "RotatE: Knowledge graph embedding by relational rotation in complex space," in Proc. 7th Int. Conf. Learn. Representations (ICLR), 2019.</w:t>
      </w:r>
    </w:p>
    <w:p>
      <w:pPr>
        <w:spacing w:after="40" w:before="40"/>
        <w:ind w:left="360" w:hanging="360"/>
      </w:pPr>
      <w:r>
        <w:rPr>
          <w:rFonts w:ascii="Times New Roman" w:cs="Times New Roman" w:eastAsia="Times New Roman" w:hAnsi="Times New Roman"/>
          <w:sz w:val="19"/>
          <w:szCs w:val="19"/>
        </w:rPr>
        <w:t xml:space="preserve">[9] L. Elluri, A. Nagar, and K. P. Joshi, "An integrated knowledge graph to automate GDPR and PCI DSS compliance," in Proc. IEEE Int. Conf. Big Data, 2018, pp. 1266-1271.</w:t>
      </w:r>
    </w:p>
    <w:p>
      <w:pPr>
        <w:spacing w:after="40" w:before="40"/>
        <w:ind w:left="360" w:hanging="360"/>
      </w:pPr>
      <w:r>
        <w:rPr>
          <w:rFonts w:ascii="Times New Roman" w:cs="Times New Roman" w:eastAsia="Times New Roman" w:hAnsi="Times New Roman"/>
          <w:sz w:val="19"/>
          <w:szCs w:val="19"/>
        </w:rPr>
        <w:t xml:space="preserve">[10] K. Goyal, "HRGraph: Leveraging LLMs for HR data knowledge graphs with information propagation-based job recommendation," in Proc. NLP4HR Workshop, EACL, 2024.</w:t>
      </w:r>
    </w:p>
    <w:p>
      <w:pPr>
        <w:spacing w:after="40" w:before="40"/>
        <w:ind w:left="360" w:hanging="360"/>
      </w:pPr>
      <w:r>
        <w:rPr>
          <w:rFonts w:ascii="Times New Roman" w:cs="Times New Roman" w:eastAsia="Times New Roman" w:hAnsi="Times New Roman"/>
          <w:sz w:val="19"/>
          <w:szCs w:val="19"/>
        </w:rPr>
        <w:t xml:space="preserve">[11] S. Bourmpoulias, D. Zeginis, and K. Tarabanis, "An entity event knowledge graph for human resources management in public administration," in Proc. 25th IEEE Conf. Bus. Inform. (CBI), 2023, pp. 1-8.</w:t>
      </w:r>
    </w:p>
    <w:p>
      <w:pPr>
        <w:spacing w:after="40" w:before="40"/>
        <w:ind w:left="360" w:hanging="360"/>
      </w:pPr>
      <w:r>
        <w:rPr>
          <w:rFonts w:ascii="Times New Roman" w:cs="Times New Roman" w:eastAsia="Times New Roman" w:hAnsi="Times New Roman"/>
          <w:sz w:val="19"/>
          <w:szCs w:val="19"/>
        </w:rPr>
        <w:t xml:space="preserve">[12] L. Elluri, K. P. Joshi, and A. Kotal, "Measuring semantic similarity across EU GDPR regulation and cloud privacy policies," in Proc. IEEE Int. Conf. Big Data, 2020, pp. 3963-3978.</w:t>
      </w:r>
    </w:p>
    <w:p>
      <w:pPr>
        <w:spacing w:after="40" w:before="40"/>
        <w:ind w:left="360" w:hanging="360"/>
      </w:pPr>
      <w:r>
        <w:rPr>
          <w:rFonts w:ascii="Times New Roman" w:cs="Times New Roman" w:eastAsia="Times New Roman" w:hAnsi="Times New Roman"/>
          <w:sz w:val="19"/>
          <w:szCs w:val="19"/>
        </w:rPr>
        <w:t xml:space="preserve">[13] S. Pan, L. Luo, Y. Wang, C. Chen, J. Wang, and X. Wu, "Unifying large language models and knowledge graphs: A roadmap," IEEE Trans. Knowl. Data Eng., 2024.</w:t>
      </w:r>
    </w:p>
    <w:p>
      <w:pPr>
        <w:spacing w:after="40" w:before="40"/>
        <w:ind w:left="360" w:hanging="360"/>
      </w:pPr>
      <w:r>
        <w:rPr>
          <w:rFonts w:ascii="Times New Roman" w:cs="Times New Roman" w:eastAsia="Times New Roman" w:hAnsi="Times New Roman"/>
          <w:sz w:val="19"/>
          <w:szCs w:val="19"/>
        </w:rPr>
        <w:t xml:space="preserve">[14] D. Rodriguez, I. Yang, J. M. Del Alamo, and N. Sadeh, "GraphCompliance: Aligning policy and context graphs for LLM-based regulatory compliance," in Proc. ICLR, 2025.</w:t>
      </w:r>
    </w:p>
    <w:p>
      <w:pPr>
        <w:spacing w:after="40" w:before="40"/>
        <w:ind w:left="360" w:hanging="360"/>
      </w:pPr>
      <w:r>
        <w:rPr>
          <w:rFonts w:ascii="Times New Roman" w:cs="Times New Roman" w:eastAsia="Times New Roman" w:hAnsi="Times New Roman"/>
          <w:sz w:val="19"/>
          <w:szCs w:val="19"/>
        </w:rPr>
        <w:t xml:space="preserve">[15] S. Cai, B. Zheng, G. Chen, H. Gao, J. Guo, and C. S. Jensen, "A survey of temporal knowledge graph completion algorithms," arXiv preprint arXiv:2201.08236, 2022.</w:t>
      </w:r>
    </w:p>
    <w:p>
      <w:pPr>
        <w:spacing w:after="40" w:before="40"/>
        <w:ind w:left="360" w:hanging="360"/>
      </w:pPr>
      <w:r>
        <w:rPr>
          <w:rFonts w:ascii="Times New Roman" w:cs="Times New Roman" w:eastAsia="Times New Roman" w:hAnsi="Times New Roman"/>
          <w:sz w:val="19"/>
          <w:szCs w:val="19"/>
        </w:rPr>
        <w:t xml:space="preserve">[16] H. Sun, J. Xiao, W. Zhu, Y. He, S. Zhang, X. Xu, L. Hou, J. Li, Y. Ni, and G. Xie, "Medical knowledge graph to enhance fraud, waste, and abuse detection on claim data," JMIR Med. Inform., vol. 8, no. 7, p. e17653, 2020.</w:t>
      </w:r>
    </w:p>
    <w:p>
      <w:pPr>
        <w:spacing w:after="40" w:before="40"/>
        <w:ind w:left="360" w:hanging="360"/>
      </w:pPr>
      <w:r>
        <w:rPr>
          <w:rFonts w:ascii="Times New Roman" w:cs="Times New Roman" w:eastAsia="Times New Roman" w:hAnsi="Times New Roman"/>
          <w:sz w:val="19"/>
          <w:szCs w:val="19"/>
        </w:rPr>
        <w:t xml:space="preserve">[17] Y. Wang, S. Chen, N. Deng, and Y. Li, "Weakly supervised anomaly detection via knowledge-data alignment," in Proc. ACM Web Conf., 2024, pp. 4083-4094.</w:t>
      </w:r>
    </w:p>
    <w:p>
      <w:pPr>
        <w:spacing w:after="40" w:before="40"/>
        <w:ind w:left="360" w:hanging="360"/>
      </w:pPr>
      <w:r>
        <w:rPr>
          <w:rFonts w:ascii="Times New Roman" w:cs="Times New Roman" w:eastAsia="Times New Roman" w:hAnsi="Times New Roman"/>
          <w:sz w:val="19"/>
          <w:szCs w:val="19"/>
        </w:rPr>
        <w:t xml:space="preserve">[18] B. Shi, B. Dong, Y. Xu, J. Wang, Y. Wang, and Q. Zheng, "An edge feature aware heterogeneous graph neural network model to support tax evasion detection," Expert Syst. Appl., vol. 213, p. 118903, 2023.</w:t>
      </w:r>
    </w:p>
    <w:p>
      <w:pPr>
        <w:spacing w:after="40" w:before="40"/>
        <w:ind w:left="360" w:hanging="360"/>
      </w:pPr>
      <w:r>
        <w:rPr>
          <w:rFonts w:ascii="Times New Roman" w:cs="Times New Roman" w:eastAsia="Times New Roman" w:hAnsi="Times New Roman"/>
          <w:sz w:val="19"/>
          <w:szCs w:val="19"/>
        </w:rPr>
        <w:t xml:space="preserve">[19] U.S. Patent 11,276,124, "Machine learning-based techniques for detecting payroll fraud," Filed 2020.</w:t>
      </w:r>
    </w:p>
    <w:p>
      <w:pPr>
        <w:spacing w:after="40" w:before="40"/>
        <w:ind w:left="360" w:hanging="360"/>
      </w:pPr>
      <w:r>
        <w:rPr>
          <w:rFonts w:ascii="Times New Roman" w:cs="Times New Roman" w:eastAsia="Times New Roman" w:hAnsi="Times New Roman"/>
          <w:sz w:val="19"/>
          <w:szCs w:val="19"/>
        </w:rPr>
        <w:t xml:space="preserve">[20] G. Niu, "Knowledge graph embeddings: A comprehensive survey on capturing relation properties," Beihang University, Tech. Rep., arXiv:2410.14733, 2024.</w:t>
      </w:r>
    </w:p>
    <w:p>
      <w:pPr>
        <w:spacing w:after="40" w:before="40"/>
        <w:ind w:left="360" w:hanging="360"/>
      </w:pPr>
      <w:r>
        <w:rPr>
          <w:rFonts w:ascii="Times New Roman" w:cs="Times New Roman" w:eastAsia="Times New Roman" w:hAnsi="Times New Roman"/>
          <w:sz w:val="19"/>
          <w:szCs w:val="19"/>
        </w:rPr>
        <w:t xml:space="preserve">[21] T. Pusch, L. Rabe, P. Norbert, and F. Panse, "Combining LLMs and knowledge graphs to reduce hallucinations in question answering," arXiv preprint arXiv:2409.04181, 2024.</w:t>
      </w:r>
    </w:p>
    <w:p>
      <w:pPr>
        <w:spacing w:after="40" w:before="40"/>
        <w:ind w:left="360" w:hanging="360"/>
      </w:pPr>
      <w:r>
        <w:rPr>
          <w:rFonts w:ascii="Times New Roman" w:cs="Times New Roman" w:eastAsia="Times New Roman" w:hAnsi="Times New Roman"/>
          <w:sz w:val="19"/>
          <w:szCs w:val="19"/>
        </w:rPr>
        <w:t xml:space="preserve">[22] X. Zhao, M. Blum, F. Gao, Y. Chen, B. Yang, L. Marquez-Carpintero, M. Pina-Navarro, Y. Fu, S. Morikawa, Y. Iwasawa, Y. Matsuo, C. Park, and I. Li, "AGENTiGraph: A multi-agent knowledge graph framework for interactive, domain-specific LLM chatbots," in Proc. CIKM, 2025. arXiv:2508.02999.</w:t>
      </w:r>
    </w:p>
    <w:p>
      <w:pPr>
        <w:spacing w:after="40" w:before="40"/>
        <w:ind w:left="360" w:hanging="360"/>
      </w:pPr>
      <w:r>
        <w:rPr>
          <w:rFonts w:ascii="Times New Roman" w:cs="Times New Roman" w:eastAsia="Times New Roman" w:hAnsi="Times New Roman"/>
          <w:sz w:val="19"/>
          <w:szCs w:val="19"/>
        </w:rPr>
        <w:t xml:space="preserve">[23] U.S. Department of Labor, "Fair Labor Standards Act (FLSA) Overtime Regulations," 29 C.F.R. Part 541, 2024.</w:t>
      </w:r>
    </w:p>
    <w:p>
      <w:pPr>
        <w:spacing w:after="40" w:before="40"/>
        <w:ind w:left="360" w:hanging="360"/>
      </w:pPr>
      <w:r>
        <w:rPr>
          <w:rFonts w:ascii="Times New Roman" w:cs="Times New Roman" w:eastAsia="Times New Roman" w:hAnsi="Times New Roman"/>
          <w:sz w:val="19"/>
          <w:szCs w:val="19"/>
        </w:rPr>
        <w:t xml:space="preserve">[24] Internal Revenue Service, "Publication 15-T: Federal Income Tax Withholding Methods," IRS, 2026.</w:t>
      </w:r>
    </w:p>
    <w:p>
      <w:pPr>
        <w:spacing w:after="40" w:before="40"/>
        <w:ind w:left="360" w:hanging="360"/>
      </w:pPr>
      <w:r>
        <w:rPr>
          <w:rFonts w:ascii="Times New Roman" w:cs="Times New Roman" w:eastAsia="Times New Roman" w:hAnsi="Times New Roman"/>
          <w:sz w:val="19"/>
          <w:szCs w:val="19"/>
        </w:rPr>
        <w:t xml:space="preserve">[25] M. Ali, M. Berrendorf, C. T. Hoyt, L. Vermue, S. Sharifzadeh, V. Tresp, and J. Lehmann, "PyKEEN 1.0: A Python library for training and evaluating knowledge graph embeddings," J. Mach. Learn. Res., vol. 22, no. 82, pp. 1-6, 2021.</w:t>
      </w:r>
    </w:p>
    <w:p>
      <w:pPr>
        <w:spacing w:after="40" w:before="40"/>
        <w:ind w:left="360" w:hanging="360"/>
      </w:pPr>
      <w:r>
        <w:rPr>
          <w:rFonts w:ascii="Times New Roman" w:cs="Times New Roman" w:eastAsia="Times New Roman" w:hAnsi="Times New Roman"/>
          <w:sz w:val="19"/>
          <w:szCs w:val="19"/>
        </w:rPr>
        <w:t xml:space="preserve">[26] Z. Han, P. Chen, Y. Ma, and V. Tresp, "DyERNIE: Dynamic evolution of Riemannian manifold embeddings for temporal knowledge graph completion," in Proc. EMNLP, 2020, pp. 7301-7316.</w:t>
      </w:r>
    </w:p>
    <w:p>
      <w:pPr>
        <w:spacing w:after="40" w:before="40"/>
        <w:ind w:left="360" w:hanging="360"/>
      </w:pPr>
      <w:r>
        <w:rPr>
          <w:rFonts w:ascii="Times New Roman" w:cs="Times New Roman" w:eastAsia="Times New Roman" w:hAnsi="Times New Roman"/>
          <w:sz w:val="19"/>
          <w:szCs w:val="19"/>
        </w:rPr>
        <w:t xml:space="preserve">[27] [Author], "DataPlatformKG: A unified knowledge graph semantic layer for modern data platforms," unpublished manuscript, 2026.</w:t>
      </w:r>
    </w:p>
    <w:p>
      <w:pPr>
        <w:spacing w:after="60" w:before="60"/>
      </w:pPr>
    </w:p>
    <w:sectPr>
      <w:head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IEEE TRANSACTIONS ON KNOWLEDGE AND DATA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2026-06-09T19:22:31.840Z</dcterms:created>
  <dcterms:modified xsi:type="dcterms:W3CDTF">2026-06-09T19:22:31.853Z</dcterms:modified>
</cp:coreProperties>
</file>

<file path=docProps/custom.xml><?xml version="1.0" encoding="utf-8"?>
<Properties xmlns="http://schemas.openxmlformats.org/officeDocument/2006/custom-properties" xmlns:vt="http://schemas.openxmlformats.org/officeDocument/2006/docPropsVTypes"/>
</file>