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 Review Guidelines</w:t>
      </w:r>
    </w:p>
    <w:p>
      <w:pPr>
        <w:pStyle w:val="Heading1"/>
      </w:pPr>
      <w:r>
        <w:t>Purpose</w:t>
      </w:r>
    </w:p>
    <w:p>
      <w:r>
        <w:t>This document describes the expectations for pull request reviews across the engineering organization, including turnaround time and required approvals.</w:t>
      </w:r>
    </w:p>
    <w:p>
      <w:pPr>
        <w:pStyle w:val="Heading1"/>
      </w:pPr>
      <w:r>
        <w:t>Review SLA</w:t>
      </w:r>
    </w:p>
    <w:p>
      <w:r>
        <w:t>Reviewers should provide first feedback within one business day. Pull requests tagged urgent should be reviewed within four hours during business hours.</w:t>
      </w:r>
    </w:p>
    <w:p>
      <w:pPr>
        <w:pStyle w:val="Heading1"/>
      </w:pPr>
      <w:r>
        <w:t>Required Approvals</w:t>
      </w:r>
    </w:p>
    <w:p>
      <w:r>
        <w:t>Changes to shared libraries require two approvals, one of which must be from the library's designated code owner. Application-level changes require a single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