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Paid Time Off Policy</w:t>
      </w:r>
    </w:p>
    <w:p>
      <w:pPr>
        <w:pStyle w:val="Heading1"/>
      </w:pPr>
      <w:r>
        <w:t>Accrual</w:t>
      </w:r>
    </w:p>
    <w:p>
      <w:r>
        <w:t>Full-time employees accrue 1.5 days of PTO per month, up to a maximum of 18 days per year, prorated for part-time staff.</w:t>
      </w:r>
    </w:p>
    <w:p>
      <w:pPr>
        <w:pStyle w:val="Heading1"/>
      </w:pPr>
      <w:r>
        <w:t>Carryover</w:t>
      </w:r>
    </w:p>
    <w:p>
      <w:r>
        <w:t>Up to 5 unused PTO days may be carried over into the next calendar year. Any balance beyond that is forfeited unless local law requires otherwise.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