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Proposal: mandatory evaluation gates for LLM releases</w:t>
      </w:r>
    </w:p>
    <w:p>
      <w:pPr>
        <w:pStyle w:val="Subtitle"/>
      </w:pPr>
      <w:r>
        <w:rPr/>
        <w:t>Why we should block releases that fail automated evaluation, and how to roll it out by Q1</w:t>
      </w:r>
    </w:p>
    <w:p>
      <w:pPr>
        <w:pBdr>
          <w:bottom w:val="single" w:sz="12" w:space="6" w:color="E0663A"/>
        </w:pBdr>
        <w:spacing w:after="360"/>
      </w:pPr>
      <w:r>
        <w:rPr>
          <w:color w:val="5E6B7A"/>
          <w:sz w:val="20"/>
        </w:rPr>
        <w:t>AI Engineering · October 2026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40" w:type="dxa"/>
          <w:left w:w="220" w:type="dxa"/>
          <w:bottom w:w="140" w:type="dxa"/>
          <w:right w:w="220" w:type="dxa"/>
        </w:tblCellMar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E0663A"/>
              <w:bottom w:val="nil"/>
              <w:right w:val="nil"/>
            </w:tcBorders>
            <w:shd w:val="clear" w:color="auto" w:fill="FCF0EB"/>
          </w:tcPr>
          <w:p>
            <w:pPr>
              <w:spacing w:after="40"/>
            </w:pPr>
            <w:r>
              <w:rPr>
                <w:b/>
                <w:color w:val="17202B"/>
              </w:rPr>
              <w:t>Recommendation</w:t>
            </w:r>
          </w:p>
          <w:p>
            <w:pPr>
              <w:spacing w:after="0"/>
            </w:pPr>
            <w:r>
              <w:rPr/>
              <w:t xml:space="preserve">Make automated evaluation a </w:t>
            </w:r>
            <w:r>
              <w:rPr>
                <w:b/>
              </w:rPr>
              <w:t>required release gate</w:t>
            </w:r>
            <w:r>
              <w:rPr/>
              <w:t xml:space="preserve"> for every LLM feature from January. The judge now agrees with expert raters (κ = 0.82) and would have caught all three Q3 regressions.</w:t>
            </w:r>
          </w:p>
        </w:tc>
      </w:tr>
    </w:tbl>
    <w:p>
      <w:pPr>
        <w:spacing w:after="0" w:line="240" w:lineRule="exact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sz="18" w:space="0" w:color="E0663A"/>
              <w:left w:val="nil"/>
              <w:bottom w:val="nil"/>
              <w:right w:val="single" w:sz="24" w:space="0" w:color="FFFFFF"/>
            </w:tcBorders>
            <w:shd w:val="clear" w:color="auto" w:fill="F3F5F8"/>
          </w:tcPr>
          <w:p>
            <w:pPr>
              <w:spacing w:after="40"/>
            </w:pPr>
            <w:r>
              <w:rPr>
                <w:rFonts w:ascii="Calibri" w:hAnsi="Calibri"/>
                <w:b/>
                <w:sz w:val="44"/>
              </w:rPr>
              <w:t>86%</w:t>
            </w:r>
          </w:p>
          <w:p>
            <w:pPr>
              <w:spacing w:after="40" w:line="264" w:lineRule="auto"/>
            </w:pPr>
            <w:r>
              <w:rPr>
                <w:color w:val="5E6B7A"/>
                <w:sz w:val="19"/>
              </w:rPr>
              <w:t>Traffic scored daily</w:t>
            </w:r>
          </w:p>
          <w:p>
            <w:pPr>
              <w:spacing w:after="0"/>
            </w:pPr>
            <w:r>
              <w:rPr>
                <w:b/>
                <w:color w:val="1E8A5F"/>
                <w:sz w:val="18"/>
              </w:rPr>
              <w:t>+61 pts since Q1</w:t>
            </w:r>
          </w:p>
        </w:tc>
        <w:tc>
          <w:tcPr>
            <w:tcW w:type="dxa" w:w="3120"/>
            <w:tcBorders>
              <w:top w:val="single" w:sz="18" w:space="0" w:color="15294A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3F5F8"/>
          </w:tcPr>
          <w:p>
            <w:pPr>
              <w:spacing w:after="40"/>
            </w:pPr>
            <w:r>
              <w:rPr>
                <w:rFonts w:ascii="Calibri" w:hAnsi="Calibri"/>
                <w:b/>
                <w:sz w:val="44"/>
              </w:rPr>
              <w:t>0.82</w:t>
            </w:r>
          </w:p>
          <w:p>
            <w:pPr>
              <w:spacing w:after="40" w:line="264" w:lineRule="auto"/>
            </w:pPr>
            <w:r>
              <w:rPr>
                <w:color w:val="5E6B7A"/>
                <w:sz w:val="19"/>
              </w:rPr>
              <w:t>Judge–expert agreement</w:t>
            </w:r>
          </w:p>
          <w:p>
            <w:pPr>
              <w:spacing w:after="0"/>
            </w:pPr>
            <w:r>
              <w:rPr>
                <w:b/>
                <w:color w:val="1E8A5F"/>
                <w:sz w:val="18"/>
              </w:rPr>
              <w:t>+0.09 vs. Q2</w:t>
            </w:r>
          </w:p>
        </w:tc>
        <w:tc>
          <w:tcPr>
            <w:tcW w:type="dxa" w:w="3120"/>
            <w:tcBorders>
              <w:top w:val="single" w:sz="18" w:space="0" w:color="15294A"/>
              <w:left w:val="single" w:sz="24" w:space="0" w:color="FFFFFF"/>
              <w:bottom w:val="nil"/>
              <w:right w:val="nil"/>
            </w:tcBorders>
            <w:shd w:val="clear" w:color="auto" w:fill="F3F5F8"/>
          </w:tcPr>
          <w:p>
            <w:pPr>
              <w:spacing w:after="40"/>
            </w:pPr>
            <w:r>
              <w:rPr>
                <w:rFonts w:ascii="Calibri" w:hAnsi="Calibri"/>
                <w:b/>
                <w:sz w:val="44"/>
              </w:rPr>
              <w:t>-71%</w:t>
            </w:r>
          </w:p>
          <w:p>
            <w:pPr>
              <w:spacing w:after="40" w:line="264" w:lineRule="auto"/>
            </w:pPr>
            <w:r>
              <w:rPr>
                <w:color w:val="5E6B7A"/>
                <w:sz w:val="19"/>
              </w:rPr>
              <w:t>Cost vs. manual QA</w:t>
            </w:r>
          </w:p>
          <w:p>
            <w:pPr>
              <w:spacing w:after="0"/>
            </w:pPr>
            <w:r>
              <w:rPr>
                <w:b/>
                <w:color w:val="1E8A5F"/>
                <w:sz w:val="18"/>
              </w:rPr>
              <w:t>$0.004 per conversation</w:t>
            </w:r>
          </w:p>
        </w:tc>
      </w:tr>
    </w:tbl>
    <w:p>
      <w:pPr>
        <w:spacing w:after="0" w:line="280" w:lineRule="exact"/>
      </w:pPr>
    </w:p>
    <w:p>
      <w:pPr>
        <w:pStyle w:val="Heading1"/>
        <w:keepNext/>
      </w:pPr>
      <w:r>
        <w:rPr/>
        <w:t>Background</w:t>
      </w:r>
    </w:p>
    <w:p>
      <w:r>
        <w:rPr/>
        <w:t>Until this year, LLM quality was measured by sampling about 2% of conversations for manual review. Findings arrived two weeks after a release, which meant regressions were discovered by customers first. Since April we have run an LLM-as-judge pipeline that scores most production conversations daily against a shared rubric.</w:t>
      </w:r>
    </w:p>
    <w:p>
      <w:r>
        <w:rPr/>
        <w:t xml:space="preserve">The judge is now accurate enough to act on. Agreement with expert human raters has reached </w:t>
      </w:r>
      <w:r>
        <w:rPr>
          <w:b/>
        </w:rPr>
        <w:t>0.82 Cohen's κ</w:t>
      </w:r>
      <w:r>
        <w:rPr/>
        <w:t xml:space="preserve"> across six channels, above the 0.75 bar we set for decision use.</w:t>
      </w:r>
    </w:p>
    <w:p>
      <w:pPr>
        <w:pStyle w:val="Heading1"/>
        <w:keepNext/>
      </w:pPr>
      <w:r>
        <w:rPr/>
        <w:t>What the data shows</w:t>
      </w:r>
    </w:p>
    <w:p>
      <w:pPr>
        <w:pStyle w:val="Heading2"/>
        <w:keepNext/>
      </w:pPr>
      <w:r>
        <w:rPr/>
        <w:t>Quality varies most in billing</w:t>
      </w:r>
    </w:p>
    <w:p>
      <w:pPr>
        <w:keepNext/>
      </w:pPr>
      <w:r>
        <w:rPr/>
        <w:t>Billing resolution quality trails every other channel by at least 13 points. Root-cause review traced most failures to stale policy documents in the retrieval corpus rather than to the model itself.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94360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i/>
          <w:color w:val="5E6B7A"/>
          <w:sz w:val="18"/>
        </w:rPr>
        <w:t>Figure 1. Mean judge resolution score by channel, Jul–Sep 2026 (illustrative).</w:t>
      </w:r>
    </w:p>
    <w:p>
      <w:pPr>
        <w:pStyle w:val="Heading2"/>
        <w:keepNext/>
      </w:pPr>
      <w:r>
        <w:rPr/>
        <w:t>Fixes are working</w:t>
      </w:r>
    </w:p>
    <w:p>
      <w:r>
        <w:rPr/>
        <w:t>Retrieval and prompt changes shipped since April cut unsupported claims by two-thirds. Every Q3 regression that reached customers would have failed a gate on at least two metrics when replayed.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330"/>
            <w:tcBorders>
              <w:top w:val="nil"/>
              <w:left w:val="nil"/>
              <w:bottom w:val="single" w:sz="12" w:space="0" w:color="15294A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color w:val="5E6B7A"/>
                <w:sz w:val="20"/>
              </w:rPr>
              <w:t>Channel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2" w:space="0" w:color="15294A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/>
                <w:color w:val="5E6B7A"/>
                <w:sz w:val="20"/>
              </w:rPr>
              <w:t>Coverage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12" w:space="0" w:color="15294A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/>
                <w:color w:val="5E6B7A"/>
                <w:sz w:val="20"/>
              </w:rPr>
              <w:t>κ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12" w:space="0" w:color="15294A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/>
                <w:color w:val="5E6B7A"/>
                <w:sz w:val="20"/>
              </w:rPr>
              <w:t>Resolution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12" w:space="0" w:color="15294A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color w:val="5E6B7A"/>
                <w:sz w:val="20"/>
              </w:rPr>
              <w:t>Status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Billing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91%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0.79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0.61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Rubric revision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Device support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88%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0.77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0.74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Rubric revision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Plan changes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85%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0.84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0.78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Gating live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Network issues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83%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0.85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0.81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Gating live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Account access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80%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0.86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0.83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Gating live</w:t>
            </w:r>
          </w:p>
        </w:tc>
      </w:tr>
      <w:tr>
        <w:tc>
          <w:tcPr>
            <w:tcW w:type="dxa" w:w="233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Orders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79%</w:t>
            </w:r>
          </w:p>
        </w:tc>
        <w:tc>
          <w:tcPr>
            <w:tcW w:type="dxa" w:w="123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0.88</w:t>
            </w:r>
          </w:p>
        </w:tc>
        <w:tc>
          <w:tcPr>
            <w:tcW w:type="dxa" w:w="1810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0.88</w:t>
            </w:r>
          </w:p>
        </w:tc>
        <w:tc>
          <w:tcPr>
            <w:tcW w:type="dxa" w:w="2454"/>
            <w:tcBorders>
              <w:top w:val="nil"/>
              <w:left w:val="nil"/>
              <w:bottom w:val="single" w:sz="4" w:space="0" w:color="DDE2E8"/>
              <w:right w:val="nil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21"/>
              </w:rPr>
              <w:t>Gating live</w:t>
            </w:r>
          </w:p>
        </w:tc>
      </w:tr>
    </w:tbl>
    <w:p>
      <w:pPr>
        <w:spacing w:before="80"/>
      </w:pPr>
      <w:r>
        <w:rPr>
          <w:i/>
          <w:color w:val="5E6B7A"/>
          <w:sz w:val="18"/>
        </w:rPr>
        <w:t>Table 1. Evaluation readiness by channel (illustrative).</w:t>
      </w:r>
    </w:p>
    <w:p>
      <w:pPr>
        <w:pStyle w:val="Heading1"/>
        <w:keepNext/>
      </w:pPr>
      <w:r>
        <w:rPr/>
        <w:t>Proposal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Fix billing retrieval first.</w:t>
      </w:r>
      <w:r>
        <w:rPr/>
        <w:t xml:space="preserve"> Refresh the policy corpus weekly and require citations in answers.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Calibrate scores per channel</w:t>
      </w:r>
      <w:r>
        <w:rPr/>
        <w:t xml:space="preserve"> so a threshold means the same thing everywhere.</w:t>
      </w:r>
    </w:p>
    <w:p>
      <w:pPr>
        <w:pStyle w:val="ListBullet2"/>
      </w:pPr>
      <w:r>
        <w:rPr>
          <w:color w:val="5E6B7A"/>
        </w:rPr>
        <w:t>Platt scaling against a held-out expert-labelled set</w:t>
      </w:r>
    </w:p>
    <w:p>
      <w:pPr>
        <w:pStyle w:val="ListBullet2"/>
      </w:pPr>
      <w:r>
        <w:rPr>
          <w:color w:val="5E6B7A"/>
        </w:rPr>
        <w:t>Thresholds signed off by each channel owner</w:t>
      </w:r>
    </w:p>
    <w:p>
      <w:pPr>
        <w:pStyle w:val="ListNumber"/>
        <w:numPr>
          <w:ilvl w:val="0"/>
          <w:numId w:val="10"/>
        </w:numPr>
        <w:spacing w:after="200"/>
      </w:pPr>
      <w:r>
        <w:rPr>
          <w:b/>
        </w:rPr>
        <w:t>Make the gate mandatory</w:t>
      </w:r>
      <w:r>
        <w:rPr/>
        <w:t xml:space="preserve"> for all LLM releases from January, with a documented override path.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40" w:type="dxa"/>
          <w:left w:w="220" w:type="dxa"/>
          <w:bottom w:w="140" w:type="dxa"/>
          <w:right w:w="220" w:type="dxa"/>
        </w:tblCellMar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single" w:sz="24" w:space="0" w:color="C2402F"/>
              <w:bottom w:val="nil"/>
              <w:right w:val="nil"/>
            </w:tcBorders>
            <w:shd w:val="clear" w:color="auto" w:fill="F9ECEA"/>
          </w:tcPr>
          <w:p>
            <w:pPr>
              <w:spacing w:after="40"/>
            </w:pPr>
            <w:r>
              <w:rPr>
                <w:b/>
                <w:color w:val="17202B"/>
              </w:rPr>
              <w:t>Risk</w:t>
            </w:r>
          </w:p>
          <w:p>
            <w:pPr>
              <w:spacing w:after="0"/>
            </w:pPr>
            <w:r>
              <w:rPr/>
              <w:t>A miscalibrated gate could block good releases. The override path and monthly threshold review are there to contain that, and we will report false-block rates alongside the gate results.</w:t>
            </w:r>
          </w:p>
        </w:tc>
      </w:tr>
    </w:tbl>
    <w:p>
      <w:pPr>
        <w:spacing w:after="0" w:line="240" w:lineRule="exact"/>
      </w:pPr>
    </w:p>
    <w:p>
      <w:pPr>
        <w:pStyle w:val="Heading1"/>
        <w:keepNext/>
      </w:pPr>
      <w:r>
        <w:rPr/>
        <w:t>Decisions requested</w:t>
      </w:r>
    </w:p>
    <w:p>
      <w:pPr>
        <w:pStyle w:val="ListBullet"/>
      </w:pPr>
      <w:r>
        <w:rPr/>
        <w:t>Approve two engineers for Q1 calibration and retrieval work</w:t>
      </w:r>
    </w:p>
    <w:p>
      <w:pPr>
        <w:pStyle w:val="ListBullet"/>
      </w:pPr>
      <w:r>
        <w:rPr/>
        <w:t>Endorse mandatory release gating from January</w:t>
      </w:r>
    </w:p>
    <w:p>
      <w:pPr>
        <w:pStyle w:val="ListBullet"/>
        <w:spacing w:after="200"/>
      </w:pPr>
      <w:r>
        <w:rPr/>
        <w:t>Nominate one owner per channel for rubric sign-off</w:t>
      </w:r>
    </w:p>
    <w:p>
      <w:pPr>
        <w:pBdr>
          <w:left w:val="single" w:sz="24" w:space="12" w:color="E0663A"/>
        </w:pBdr>
        <w:spacing w:before="120" w:after="40"/>
        <w:ind w:left="360"/>
      </w:pPr>
      <w:r>
        <w:rPr>
          <w:rFonts w:ascii="Calibri" w:hAnsi="Calibri"/>
          <w:i/>
          <w:sz w:val="28"/>
        </w:rPr>
        <w:t>For the first time we found out about a quality problem before our customers did.</w:t>
      </w:r>
    </w:p>
    <w:p>
      <w:pPr>
        <w:pBdr>
          <w:left w:val="single" w:sz="24" w:space="12" w:color="E0663A"/>
        </w:pBdr>
        <w:spacing w:after="240"/>
        <w:ind w:left="360"/>
      </w:pPr>
      <w:r>
        <w:rPr>
          <w:b/>
          <w:color w:val="5E6B7A"/>
          <w:sz w:val="20"/>
        </w:rPr>
        <w:t>— Channel owner, Device Support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B7A"/>
        <w:sz w:val="18"/>
      </w:rPr>
      <w:t>Illustrative example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88"/>
    </w:pPr>
    <w:rPr>
      <w:rFonts w:ascii="Calibri" w:hAnsi="Calibri" w:eastAsia="Calibri"/>
      <w:color w:val="17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2" w:lineRule="auto"/>
      <w:outlineLvl w:val="0"/>
    </w:pPr>
    <w:rPr>
      <w:rFonts w:ascii="Calibri" w:hAnsi="Calibri" w:eastAsia="Calibri" w:cs="Calibri"/>
      <w:b/>
      <w:bCs/>
      <w:i w:val="0"/>
      <w:color w:val="152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52" w:lineRule="auto"/>
      <w:outlineLvl w:val="1"/>
    </w:pPr>
    <w:rPr>
      <w:rFonts w:ascii="Calibri" w:hAnsi="Calibri" w:eastAsia="Calibri" w:cs="Calibri"/>
      <w:b/>
      <w:bCs/>
      <w:i w:val="0"/>
      <w:color w:val="1720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52" w:lineRule="auto"/>
      <w:outlineLvl w:val="2"/>
    </w:pPr>
    <w:rPr>
      <w:rFonts w:ascii="Calibri" w:hAnsi="Calibri" w:eastAsia="Calibri" w:cs="Calibri"/>
      <w:b/>
      <w:bCs/>
      <w:i w:val="0"/>
      <w:color w:val="E066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0"/>
      <w:contextualSpacing/>
    </w:pPr>
    <w:rPr>
      <w:rFonts w:ascii="Calibri" w:hAnsi="Calibri" w:eastAsia="Calibri" w:cs="Calibri"/>
      <w:b/>
      <w:i w:val="0"/>
      <w:color w:val="17202B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52" w:lineRule="auto"/>
    </w:pPr>
    <w:rPr>
      <w:rFonts w:ascii="Calibri" w:hAnsi="Calibri" w:eastAsia="Calibri" w:cs="Calibri"/>
      <w:b w:val="0"/>
      <w:i w:val="0"/>
      <w:iCs/>
      <w:color w:val="5E6B7A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mandatory evaluation gates for LLM releases</dc:title>
  <dc:subject/>
  <dc:creator>AI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