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32A1C" w:rsidP="00932A1C">
      <w:r>
        <w:rPr>
          <w:noProof/>
        </w:rPr>
        <w:drawing>
          <wp:inline distT="0" distB="0" distL="0" distR="0">
            <wp:extent cx="5945652" cy="3467549"/>
            <wp:effectExtent l="19050" t="19050" r="16998" b="18601"/>
            <wp:docPr id="1" name="Picture 0" descr="images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fif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287" cy="3466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A33E1" w:rsidRPr="00AA33E1" w:rsidRDefault="00AA33E1" w:rsidP="00AA3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3E1">
        <w:rPr>
          <w:rFonts w:ascii="Times New Roman" w:eastAsia="Times New Roman" w:hAnsi="Times New Roman" w:cs="Times New Roman"/>
          <w:b/>
          <w:bCs/>
          <w:sz w:val="27"/>
          <w:szCs w:val="27"/>
        </w:rPr>
        <w:t>Hartwig's Severity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14"/>
        <w:gridCol w:w="5936"/>
      </w:tblGrid>
      <w:tr w:rsidR="00AA33E1" w:rsidRPr="00AA33E1" w:rsidTr="00AA3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 in this case</w:t>
            </w:r>
          </w:p>
        </w:tc>
      </w:tr>
      <w:tr w:rsidR="00AA33E1" w:rsidRPr="00AA33E1" w:rsidTr="00AA3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sz w:val="24"/>
                <w:szCs w:val="24"/>
              </w:rPr>
              <w:t>ADR required discontinuation/change of suspected drug?</w:t>
            </w:r>
          </w:p>
        </w:tc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  <w:r w:rsidRPr="00AA33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enalapril was permanently discontinued</w:t>
            </w:r>
          </w:p>
        </w:tc>
      </w:tr>
      <w:tr w:rsidR="00AA33E1" w:rsidRPr="00AA33E1" w:rsidTr="00AA3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sz w:val="24"/>
                <w:szCs w:val="24"/>
              </w:rPr>
              <w:t>Was additional treatment required?</w:t>
            </w:r>
          </w:p>
        </w:tc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  <w:r w:rsidRPr="00AA33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IV corticosteroid and antihistamine were administered</w:t>
            </w:r>
          </w:p>
        </w:tc>
      </w:tr>
      <w:tr w:rsidR="00AA33E1" w:rsidRPr="00AA33E1" w:rsidTr="00AA3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sz w:val="24"/>
                <w:szCs w:val="24"/>
              </w:rPr>
              <w:t>Was there an increase in hospital stay by ≥1 day?</w:t>
            </w:r>
          </w:p>
        </w:tc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reported</w:t>
            </w:r>
          </w:p>
        </w:tc>
      </w:tr>
      <w:tr w:rsidR="00AA33E1" w:rsidRPr="00AA33E1" w:rsidTr="00AA3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sz w:val="24"/>
                <w:szCs w:val="24"/>
              </w:rPr>
              <w:t>Was the ADR the reason for admission?</w:t>
            </w:r>
          </w:p>
        </w:tc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  <w:r w:rsidRPr="00AA33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the patient presented to the emergency department and was monitored, but the case does not state that she was admitted as an inpatient</w:t>
            </w:r>
          </w:p>
        </w:tc>
      </w:tr>
      <w:tr w:rsidR="00AA33E1" w:rsidRPr="00AA33E1" w:rsidTr="00AA3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sz w:val="24"/>
                <w:szCs w:val="24"/>
              </w:rPr>
              <w:t>Was intensive medical care required?</w:t>
            </w:r>
          </w:p>
        </w:tc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  <w:r w:rsidRPr="00AA33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airway equipment was kept ready, but ICU/intensive care was not required</w:t>
            </w:r>
          </w:p>
        </w:tc>
      </w:tr>
      <w:tr w:rsidR="00AA33E1" w:rsidRPr="00AA33E1" w:rsidTr="00AA3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sz w:val="24"/>
                <w:szCs w:val="24"/>
              </w:rPr>
              <w:t>Was permanent harm caused?</w:t>
            </w:r>
          </w:p>
        </w:tc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AA33E1" w:rsidRPr="00AA33E1" w:rsidTr="00AA3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sz w:val="24"/>
                <w:szCs w:val="24"/>
              </w:rPr>
              <w:t>Did the patient die?</w:t>
            </w:r>
          </w:p>
        </w:tc>
        <w:tc>
          <w:tcPr>
            <w:tcW w:w="0" w:type="auto"/>
            <w:vAlign w:val="center"/>
            <w:hideMark/>
          </w:tcPr>
          <w:p w:rsidR="00AA33E1" w:rsidRPr="00AA33E1" w:rsidRDefault="00AA33E1" w:rsidP="00AA3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</w:tbl>
    <w:p w:rsidR="00AA33E1" w:rsidRPr="00AA33E1" w:rsidRDefault="00AA33E1" w:rsidP="00AA3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3E1">
        <w:rPr>
          <w:rFonts w:ascii="Times New Roman" w:eastAsia="Times New Roman" w:hAnsi="Times New Roman" w:cs="Times New Roman"/>
          <w:sz w:val="24"/>
          <w:szCs w:val="24"/>
        </w:rPr>
        <w:t xml:space="preserve">According to Hartwig and Siegel, </w:t>
      </w:r>
      <w:r w:rsidRPr="00AA33E1">
        <w:rPr>
          <w:rFonts w:ascii="Times New Roman" w:eastAsia="Times New Roman" w:hAnsi="Times New Roman" w:cs="Times New Roman"/>
          <w:b/>
          <w:bCs/>
          <w:sz w:val="24"/>
          <w:szCs w:val="24"/>
        </w:rPr>
        <w:t>Level 3</w:t>
      </w:r>
      <w:r w:rsidRPr="00AA33E1">
        <w:rPr>
          <w:rFonts w:ascii="Times New Roman" w:eastAsia="Times New Roman" w:hAnsi="Times New Roman" w:cs="Times New Roman"/>
          <w:sz w:val="24"/>
          <w:szCs w:val="24"/>
        </w:rPr>
        <w:t xml:space="preserve"> applies when the suspected drug is discontinued/changed and/or additional treatment is required, </w:t>
      </w:r>
      <w:r w:rsidRPr="00AA33E1">
        <w:rPr>
          <w:rFonts w:ascii="Times New Roman" w:eastAsia="Times New Roman" w:hAnsi="Times New Roman" w:cs="Times New Roman"/>
          <w:b/>
          <w:bCs/>
          <w:sz w:val="24"/>
          <w:szCs w:val="24"/>
        </w:rPr>
        <w:t>without an increase in length of stay</w:t>
      </w:r>
      <w:r w:rsidRPr="00AA33E1">
        <w:rPr>
          <w:rFonts w:ascii="Times New Roman" w:eastAsia="Times New Roman" w:hAnsi="Times New Roman" w:cs="Times New Roman"/>
          <w:sz w:val="24"/>
          <w:szCs w:val="24"/>
        </w:rPr>
        <w:t>. Level 4 applies if the ADR increases hospital stay by at least one day or is the reason for admission.</w:t>
      </w:r>
    </w:p>
    <w:p w:rsidR="00AA33E1" w:rsidRPr="00AA33E1" w:rsidRDefault="00AA33E1" w:rsidP="00AA3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3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Final Assessment</w:t>
      </w:r>
    </w:p>
    <w:p w:rsidR="00AA33E1" w:rsidRPr="00AA33E1" w:rsidRDefault="00AA33E1" w:rsidP="00AA3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3E1">
        <w:rPr>
          <w:rFonts w:ascii="Times New Roman" w:eastAsia="Times New Roman" w:hAnsi="Times New Roman" w:cs="Times New Roman"/>
          <w:b/>
          <w:bCs/>
          <w:sz w:val="24"/>
          <w:szCs w:val="24"/>
        </w:rPr>
        <w:t>Hartwig Severity Level: 3 — Moderate ADR</w:t>
      </w:r>
    </w:p>
    <w:p w:rsidR="00932A1C" w:rsidRPr="00AA33E1" w:rsidRDefault="00AA33E1" w:rsidP="00AA3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3E1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  <w:r w:rsidRPr="00AA33E1">
        <w:rPr>
          <w:rFonts w:ascii="Times New Roman" w:eastAsia="Times New Roman" w:hAnsi="Times New Roman" w:cs="Times New Roman"/>
          <w:sz w:val="24"/>
          <w:szCs w:val="24"/>
        </w:rPr>
        <w:t xml:space="preserve"> The patient developed clinically significant angioedema requiring immediate discontinuation of enalapril, emergency monitoring, and treatment with IV corticosteroid and antihistamine. However, there is </w:t>
      </w:r>
      <w:r w:rsidRPr="00AA33E1">
        <w:rPr>
          <w:rFonts w:ascii="Times New Roman" w:eastAsia="Times New Roman" w:hAnsi="Times New Roman" w:cs="Times New Roman"/>
          <w:b/>
          <w:bCs/>
          <w:sz w:val="24"/>
          <w:szCs w:val="24"/>
        </w:rPr>
        <w:t>no information indicating an increased hospital stay of ≥1 day, intensive medical care, permanent harm, or death</w:t>
      </w:r>
      <w:r w:rsidRPr="00AA33E1">
        <w:rPr>
          <w:rFonts w:ascii="Times New Roman" w:eastAsia="Times New Roman" w:hAnsi="Times New Roman" w:cs="Times New Roman"/>
          <w:sz w:val="24"/>
          <w:szCs w:val="24"/>
        </w:rPr>
        <w:t>. The patient recovered within 24 hours and was discharged.</w:t>
      </w:r>
    </w:p>
    <w:sectPr w:rsidR="00932A1C" w:rsidRPr="00AA33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932A1C"/>
    <w:rsid w:val="00932A1C"/>
    <w:rsid w:val="00AA33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33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2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A1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A33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3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33E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A33E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A33E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53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2673E624-35F7-43C4-AD9D-659BF60AC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2026-08-19T10:03:00Z</dcterms:created>
  <dcterms:modified xsi:type="dcterms:W3CDTF">2026-08-19T10:30:00Z</dcterms:modified>
</cp:coreProperties>
</file>