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601C06" w:rsidP="00FE1240">
      <w:pPr>
        <w:jc w:val="center"/>
        <w:rPr>
          <w:rFonts w:ascii="Times New Roman" w:hAnsi="Times New Roman" w:cs="Times New Roman"/>
          <w:b/>
          <w:sz w:val="28"/>
          <w:szCs w:val="28"/>
        </w:rPr>
      </w:pPr>
      <w:r>
        <w:rPr>
          <w:rFonts w:ascii="Times New Roman" w:hAnsi="Times New Roman" w:cs="Times New Roman"/>
          <w:b/>
          <w:sz w:val="28"/>
          <w:szCs w:val="28"/>
        </w:rPr>
        <w:t>ICSR PREPARATION AND PROCESSING</w:t>
      </w:r>
    </w:p>
    <w:p w:rsidR="00601C06" w:rsidRPr="005E0014" w:rsidRDefault="005E0014" w:rsidP="00FE1240">
      <w:pPr>
        <w:jc w:val="both"/>
        <w:rPr>
          <w:rFonts w:ascii="Times New Roman" w:hAnsi="Times New Roman" w:cs="Times New Roman"/>
          <w:b/>
          <w:sz w:val="28"/>
          <w:szCs w:val="28"/>
        </w:rPr>
      </w:pPr>
      <w:r w:rsidRPr="005E0014">
        <w:rPr>
          <w:rFonts w:ascii="Times New Roman" w:hAnsi="Times New Roman" w:cs="Times New Roman"/>
          <w:b/>
          <w:sz w:val="28"/>
          <w:szCs w:val="28"/>
        </w:rPr>
        <w:t>CASE IDENTIFIERS:</w:t>
      </w:r>
    </w:p>
    <w:p w:rsidR="005E0014" w:rsidRPr="005E0014" w:rsidRDefault="005E0014" w:rsidP="00FE1240">
      <w:pPr>
        <w:jc w:val="both"/>
        <w:rPr>
          <w:rFonts w:ascii="Times New Roman" w:hAnsi="Times New Roman" w:cs="Times New Roman"/>
          <w:sz w:val="24"/>
          <w:szCs w:val="24"/>
        </w:rPr>
      </w:pPr>
      <w:r w:rsidRPr="005E0014">
        <w:rPr>
          <w:rFonts w:ascii="Times New Roman" w:hAnsi="Times New Roman" w:cs="Times New Roman"/>
          <w:sz w:val="24"/>
          <w:szCs w:val="24"/>
        </w:rPr>
        <w:t>1. Worldwide Unique Case Identifier - IN-TRNG-2026-000147</w:t>
      </w:r>
    </w:p>
    <w:p w:rsidR="005E0014" w:rsidRPr="005E0014" w:rsidRDefault="005E0014" w:rsidP="00FE1240">
      <w:pPr>
        <w:jc w:val="both"/>
        <w:rPr>
          <w:rFonts w:ascii="Times New Roman" w:hAnsi="Times New Roman" w:cs="Times New Roman"/>
          <w:sz w:val="24"/>
          <w:szCs w:val="24"/>
        </w:rPr>
      </w:pPr>
      <w:r w:rsidRPr="005E0014">
        <w:rPr>
          <w:rFonts w:ascii="Times New Roman" w:hAnsi="Times New Roman" w:cs="Times New Roman"/>
          <w:sz w:val="24"/>
          <w:szCs w:val="24"/>
        </w:rPr>
        <w:t>2. Case type – Spontaneous</w:t>
      </w:r>
    </w:p>
    <w:p w:rsidR="005E0014" w:rsidRPr="005E0014" w:rsidRDefault="005E0014" w:rsidP="00FE1240">
      <w:pPr>
        <w:jc w:val="both"/>
        <w:rPr>
          <w:rFonts w:ascii="Times New Roman" w:hAnsi="Times New Roman" w:cs="Times New Roman"/>
          <w:sz w:val="24"/>
          <w:szCs w:val="24"/>
        </w:rPr>
      </w:pPr>
      <w:r w:rsidRPr="005E0014">
        <w:rPr>
          <w:rFonts w:ascii="Times New Roman" w:hAnsi="Times New Roman" w:cs="Times New Roman"/>
          <w:sz w:val="24"/>
          <w:szCs w:val="24"/>
        </w:rPr>
        <w:t>3. Country of incidence – India</w:t>
      </w:r>
    </w:p>
    <w:p w:rsidR="005E0014" w:rsidRPr="005E0014" w:rsidRDefault="005E0014" w:rsidP="00FE1240">
      <w:pPr>
        <w:jc w:val="both"/>
        <w:rPr>
          <w:rFonts w:ascii="Times New Roman" w:hAnsi="Times New Roman" w:cs="Times New Roman"/>
          <w:sz w:val="24"/>
          <w:szCs w:val="24"/>
        </w:rPr>
      </w:pPr>
      <w:r w:rsidRPr="005E0014">
        <w:rPr>
          <w:rFonts w:ascii="Times New Roman" w:hAnsi="Times New Roman" w:cs="Times New Roman"/>
          <w:sz w:val="24"/>
          <w:szCs w:val="24"/>
        </w:rPr>
        <w:t>4. Date report first received (by company) – 03 Aug, 2026</w:t>
      </w:r>
    </w:p>
    <w:p w:rsidR="005E0014" w:rsidRPr="005E0014" w:rsidRDefault="005E0014" w:rsidP="00FE1240">
      <w:pPr>
        <w:jc w:val="both"/>
        <w:rPr>
          <w:rFonts w:ascii="Times New Roman" w:hAnsi="Times New Roman" w:cs="Times New Roman"/>
          <w:sz w:val="24"/>
          <w:szCs w:val="24"/>
        </w:rPr>
      </w:pPr>
      <w:r w:rsidRPr="005E0014">
        <w:rPr>
          <w:rFonts w:ascii="Times New Roman" w:hAnsi="Times New Roman" w:cs="Times New Roman"/>
          <w:sz w:val="24"/>
          <w:szCs w:val="24"/>
        </w:rPr>
        <w:t>5. Date of this follow-up - Initial report (no follow-up yet)</w:t>
      </w:r>
    </w:p>
    <w:p w:rsidR="005E0014" w:rsidRPr="005E0014" w:rsidRDefault="005E0014" w:rsidP="00FE1240">
      <w:pPr>
        <w:jc w:val="both"/>
        <w:rPr>
          <w:rStyle w:val="Strong"/>
          <w:rFonts w:ascii="Times New Roman" w:hAnsi="Times New Roman" w:cs="Times New Roman"/>
          <w:b w:val="0"/>
          <w:sz w:val="24"/>
          <w:szCs w:val="24"/>
        </w:rPr>
      </w:pPr>
      <w:r w:rsidRPr="005E0014">
        <w:rPr>
          <w:rFonts w:ascii="Times New Roman" w:hAnsi="Times New Roman" w:cs="Times New Roman"/>
          <w:sz w:val="24"/>
          <w:szCs w:val="24"/>
        </w:rPr>
        <w:t xml:space="preserve">6. Seriousness – </w:t>
      </w:r>
      <w:r w:rsidRPr="005E0014">
        <w:rPr>
          <w:rStyle w:val="Strong"/>
          <w:rFonts w:ascii="Times New Roman" w:hAnsi="Times New Roman" w:cs="Times New Roman"/>
          <w:b w:val="0"/>
          <w:sz w:val="24"/>
          <w:szCs w:val="24"/>
        </w:rPr>
        <w:t>Serious</w:t>
      </w:r>
    </w:p>
    <w:p w:rsidR="005E0014" w:rsidRDefault="005E0014" w:rsidP="00FE1240">
      <w:pPr>
        <w:jc w:val="both"/>
        <w:rPr>
          <w:rFonts w:ascii="Times New Roman" w:hAnsi="Times New Roman" w:cs="Times New Roman"/>
          <w:sz w:val="24"/>
          <w:szCs w:val="24"/>
        </w:rPr>
      </w:pPr>
      <w:r w:rsidRPr="005E0014">
        <w:rPr>
          <w:rStyle w:val="Strong"/>
          <w:rFonts w:ascii="Times New Roman" w:hAnsi="Times New Roman" w:cs="Times New Roman"/>
          <w:b w:val="0"/>
          <w:sz w:val="24"/>
          <w:szCs w:val="24"/>
        </w:rPr>
        <w:t xml:space="preserve">7. </w:t>
      </w:r>
      <w:r w:rsidRPr="005E0014">
        <w:rPr>
          <w:rFonts w:ascii="Times New Roman" w:hAnsi="Times New Roman" w:cs="Times New Roman"/>
          <w:sz w:val="24"/>
          <w:szCs w:val="24"/>
        </w:rPr>
        <w:t>Seriousness criteria checked - Hospitalization (initial/prolonged); Medically significant</w:t>
      </w:r>
    </w:p>
    <w:p w:rsidR="005E0014" w:rsidRDefault="005E0014" w:rsidP="00FE1240">
      <w:pPr>
        <w:jc w:val="both"/>
        <w:rPr>
          <w:rFonts w:ascii="Times New Roman" w:hAnsi="Times New Roman" w:cs="Times New Roman"/>
          <w:b/>
          <w:sz w:val="28"/>
          <w:szCs w:val="28"/>
        </w:rPr>
      </w:pPr>
      <w:r>
        <w:rPr>
          <w:rFonts w:ascii="Times New Roman" w:hAnsi="Times New Roman" w:cs="Times New Roman"/>
          <w:b/>
          <w:sz w:val="28"/>
          <w:szCs w:val="28"/>
        </w:rPr>
        <w:t>PRIMARY SOURCE(S) OF INFORMATION:</w:t>
      </w:r>
    </w:p>
    <w:p w:rsidR="005E0014" w:rsidRPr="00781E62" w:rsidRDefault="005E0014" w:rsidP="00FE1240">
      <w:pPr>
        <w:jc w:val="both"/>
        <w:rPr>
          <w:rFonts w:ascii="Times New Roman" w:hAnsi="Times New Roman" w:cs="Times New Roman"/>
          <w:sz w:val="24"/>
          <w:szCs w:val="24"/>
        </w:rPr>
      </w:pPr>
      <w:r w:rsidRPr="00781E62">
        <w:rPr>
          <w:rFonts w:ascii="Times New Roman" w:hAnsi="Times New Roman" w:cs="Times New Roman"/>
          <w:sz w:val="24"/>
          <w:szCs w:val="24"/>
        </w:rPr>
        <w:t>1. Reporter name - Dr. Kavitha Ramaswamy (contact details on file)</w:t>
      </w:r>
    </w:p>
    <w:p w:rsidR="005E0014" w:rsidRPr="00781E62" w:rsidRDefault="005E0014" w:rsidP="00FE1240">
      <w:pPr>
        <w:jc w:val="both"/>
        <w:rPr>
          <w:rFonts w:ascii="Times New Roman" w:hAnsi="Times New Roman" w:cs="Times New Roman"/>
          <w:sz w:val="24"/>
          <w:szCs w:val="24"/>
        </w:rPr>
      </w:pPr>
      <w:r w:rsidRPr="00781E62">
        <w:rPr>
          <w:rFonts w:ascii="Times New Roman" w:hAnsi="Times New Roman" w:cs="Times New Roman"/>
          <w:sz w:val="24"/>
          <w:szCs w:val="24"/>
        </w:rPr>
        <w:t>2. Qualification - Physician (Consultant-Internal Medicine)</w:t>
      </w:r>
    </w:p>
    <w:p w:rsidR="005E0014" w:rsidRPr="00781E62" w:rsidRDefault="005E0014" w:rsidP="00FE1240">
      <w:pPr>
        <w:jc w:val="both"/>
        <w:rPr>
          <w:rFonts w:ascii="Times New Roman" w:hAnsi="Times New Roman" w:cs="Times New Roman"/>
          <w:sz w:val="24"/>
          <w:szCs w:val="24"/>
        </w:rPr>
      </w:pPr>
      <w:r w:rsidRPr="00781E62">
        <w:rPr>
          <w:rFonts w:ascii="Times New Roman" w:hAnsi="Times New Roman" w:cs="Times New Roman"/>
          <w:sz w:val="24"/>
          <w:szCs w:val="24"/>
        </w:rPr>
        <w:t>3. Reporter type - Healthcare Professional (Primary source)</w:t>
      </w:r>
    </w:p>
    <w:p w:rsidR="005E0014" w:rsidRPr="00781E62" w:rsidRDefault="005E0014" w:rsidP="00FE1240">
      <w:pPr>
        <w:jc w:val="both"/>
        <w:rPr>
          <w:rFonts w:ascii="Times New Roman" w:hAnsi="Times New Roman" w:cs="Times New Roman"/>
          <w:sz w:val="24"/>
          <w:szCs w:val="24"/>
        </w:rPr>
      </w:pPr>
      <w:r w:rsidRPr="00781E62">
        <w:rPr>
          <w:rFonts w:ascii="Times New Roman" w:hAnsi="Times New Roman" w:cs="Times New Roman"/>
          <w:sz w:val="24"/>
          <w:szCs w:val="24"/>
        </w:rPr>
        <w:t>4. Affiliation - Department of Internal Medicine, tertiary care hospital, Chennai, Tamil Nadu</w:t>
      </w:r>
    </w:p>
    <w:p w:rsidR="005E0014" w:rsidRPr="00781E62" w:rsidRDefault="005E0014" w:rsidP="00FE1240">
      <w:pPr>
        <w:jc w:val="both"/>
        <w:rPr>
          <w:rFonts w:ascii="Times New Roman" w:hAnsi="Times New Roman" w:cs="Times New Roman"/>
          <w:sz w:val="24"/>
          <w:szCs w:val="24"/>
        </w:rPr>
      </w:pPr>
      <w:r w:rsidRPr="00781E62">
        <w:rPr>
          <w:rFonts w:ascii="Times New Roman" w:hAnsi="Times New Roman" w:cs="Times New Roman"/>
          <w:sz w:val="24"/>
          <w:szCs w:val="24"/>
        </w:rPr>
        <w:t>5. Country – India</w:t>
      </w:r>
    </w:p>
    <w:p w:rsidR="005E0014" w:rsidRPr="00781E62" w:rsidRDefault="005E0014" w:rsidP="00FE1240">
      <w:pPr>
        <w:jc w:val="both"/>
        <w:rPr>
          <w:rFonts w:ascii="Times New Roman" w:hAnsi="Times New Roman" w:cs="Times New Roman"/>
          <w:sz w:val="24"/>
          <w:szCs w:val="24"/>
        </w:rPr>
      </w:pPr>
      <w:r w:rsidRPr="00781E62">
        <w:rPr>
          <w:rFonts w:ascii="Times New Roman" w:hAnsi="Times New Roman" w:cs="Times New Roman"/>
          <w:sz w:val="24"/>
          <w:szCs w:val="24"/>
        </w:rPr>
        <w:t>6. Reporter's causality assessment - "Probable" (reporter's own words: "temporal relationship strong, improved on withdrawal")</w:t>
      </w:r>
    </w:p>
    <w:p w:rsidR="005E0014" w:rsidRDefault="005E0014" w:rsidP="00FE1240">
      <w:pPr>
        <w:jc w:val="both"/>
        <w:rPr>
          <w:rFonts w:ascii="Times New Roman" w:hAnsi="Times New Roman" w:cs="Times New Roman"/>
          <w:sz w:val="24"/>
          <w:szCs w:val="24"/>
        </w:rPr>
      </w:pPr>
      <w:r w:rsidRPr="00781E62">
        <w:rPr>
          <w:rFonts w:ascii="Times New Roman" w:hAnsi="Times New Roman" w:cs="Times New Roman"/>
          <w:sz w:val="24"/>
          <w:szCs w:val="24"/>
        </w:rPr>
        <w:t>7. Second-hand/nurse informant - Ms. Priya S., staff nurse, provided additional dosing timeline information</w:t>
      </w:r>
    </w:p>
    <w:p w:rsidR="009B69FF" w:rsidRPr="009B69FF" w:rsidRDefault="009B69FF" w:rsidP="00FE1240">
      <w:pPr>
        <w:spacing w:before="100" w:beforeAutospacing="1" w:after="100" w:afterAutospacing="1"/>
        <w:outlineLvl w:val="1"/>
        <w:rPr>
          <w:rFonts w:ascii="Times New Roman" w:eastAsia="Times New Roman" w:hAnsi="Times New Roman" w:cs="Times New Roman"/>
          <w:b/>
          <w:bCs/>
          <w:sz w:val="28"/>
          <w:szCs w:val="28"/>
        </w:rPr>
      </w:pPr>
      <w:r w:rsidRPr="009B69FF">
        <w:rPr>
          <w:rFonts w:ascii="Times New Roman" w:eastAsia="Times New Roman" w:hAnsi="Times New Roman" w:cs="Times New Roman"/>
          <w:b/>
          <w:bCs/>
          <w:sz w:val="28"/>
          <w:szCs w:val="28"/>
        </w:rPr>
        <w:t xml:space="preserve">PATIENT </w:t>
      </w:r>
      <w:r>
        <w:rPr>
          <w:rFonts w:ascii="Times New Roman" w:eastAsia="Times New Roman" w:hAnsi="Times New Roman" w:cs="Times New Roman"/>
          <w:b/>
          <w:bCs/>
          <w:sz w:val="28"/>
          <w:szCs w:val="28"/>
        </w:rPr>
        <w:t>CHARACTERISTICS:</w:t>
      </w:r>
    </w:p>
    <w:tbl>
      <w:tblPr>
        <w:tblW w:w="0" w:type="auto"/>
        <w:tblCellSpacing w:w="15" w:type="dxa"/>
        <w:tblCellMar>
          <w:top w:w="15" w:type="dxa"/>
          <w:left w:w="15" w:type="dxa"/>
          <w:bottom w:w="15" w:type="dxa"/>
          <w:right w:w="15" w:type="dxa"/>
        </w:tblCellMar>
        <w:tblLook w:val="04A0"/>
      </w:tblPr>
      <w:tblGrid>
        <w:gridCol w:w="2260"/>
        <w:gridCol w:w="7190"/>
      </w:tblGrid>
      <w:tr w:rsidR="009B69FF" w:rsidRPr="009B69FF" w:rsidTr="009B69FF">
        <w:trPr>
          <w:tblCellSpacing w:w="15" w:type="dxa"/>
        </w:trPr>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9B69FF">
              <w:rPr>
                <w:rFonts w:ascii="Times New Roman" w:eastAsia="Times New Roman" w:hAnsi="Times New Roman" w:cs="Times New Roman"/>
                <w:sz w:val="24"/>
                <w:szCs w:val="24"/>
              </w:rPr>
              <w:t>Patient initials</w:t>
            </w:r>
          </w:p>
        </w:tc>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sidRPr="009B69FF">
              <w:rPr>
                <w:rFonts w:ascii="Times New Roman" w:eastAsia="Times New Roman" w:hAnsi="Times New Roman" w:cs="Times New Roman"/>
                <w:sz w:val="24"/>
                <w:szCs w:val="24"/>
              </w:rPr>
              <w:t>R.K.</w:t>
            </w:r>
          </w:p>
        </w:tc>
      </w:tr>
      <w:tr w:rsidR="009B69FF" w:rsidRPr="009B69FF" w:rsidTr="009B69FF">
        <w:trPr>
          <w:tblCellSpacing w:w="15" w:type="dxa"/>
        </w:trPr>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Pr="009B69FF">
              <w:rPr>
                <w:rFonts w:ascii="Times New Roman" w:eastAsia="Times New Roman" w:hAnsi="Times New Roman" w:cs="Times New Roman"/>
                <w:sz w:val="24"/>
                <w:szCs w:val="24"/>
              </w:rPr>
              <w:t>Age</w:t>
            </w:r>
          </w:p>
        </w:tc>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sidRPr="009B69FF">
              <w:rPr>
                <w:rFonts w:ascii="Times New Roman" w:eastAsia="Times New Roman" w:hAnsi="Times New Roman" w:cs="Times New Roman"/>
                <w:sz w:val="24"/>
                <w:szCs w:val="24"/>
              </w:rPr>
              <w:t>52 years</w:t>
            </w:r>
          </w:p>
        </w:tc>
      </w:tr>
      <w:tr w:rsidR="009B69FF" w:rsidRPr="009B69FF" w:rsidTr="009B69FF">
        <w:trPr>
          <w:tblCellSpacing w:w="15" w:type="dxa"/>
        </w:trPr>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9B69FF">
              <w:rPr>
                <w:rFonts w:ascii="Times New Roman" w:eastAsia="Times New Roman" w:hAnsi="Times New Roman" w:cs="Times New Roman"/>
                <w:sz w:val="24"/>
                <w:szCs w:val="24"/>
              </w:rPr>
              <w:t>Sex</w:t>
            </w:r>
          </w:p>
        </w:tc>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sidRPr="009B69FF">
              <w:rPr>
                <w:rFonts w:ascii="Times New Roman" w:eastAsia="Times New Roman" w:hAnsi="Times New Roman" w:cs="Times New Roman"/>
                <w:sz w:val="24"/>
                <w:szCs w:val="24"/>
              </w:rPr>
              <w:t>Female</w:t>
            </w:r>
          </w:p>
        </w:tc>
      </w:tr>
      <w:tr w:rsidR="009B69FF" w:rsidRPr="009B69FF" w:rsidTr="009B69FF">
        <w:trPr>
          <w:tblCellSpacing w:w="15" w:type="dxa"/>
        </w:trPr>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Pr="009B69FF">
              <w:rPr>
                <w:rFonts w:ascii="Times New Roman" w:eastAsia="Times New Roman" w:hAnsi="Times New Roman" w:cs="Times New Roman"/>
                <w:sz w:val="24"/>
                <w:szCs w:val="24"/>
              </w:rPr>
              <w:t>Weight</w:t>
            </w:r>
          </w:p>
        </w:tc>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sidRPr="009B69FF">
              <w:rPr>
                <w:rFonts w:ascii="Times New Roman" w:eastAsia="Times New Roman" w:hAnsi="Times New Roman" w:cs="Times New Roman"/>
                <w:sz w:val="24"/>
                <w:szCs w:val="24"/>
              </w:rPr>
              <w:t>68 kg</w:t>
            </w:r>
          </w:p>
        </w:tc>
      </w:tr>
      <w:tr w:rsidR="009B69FF" w:rsidRPr="009B69FF" w:rsidTr="009B69FF">
        <w:trPr>
          <w:tblCellSpacing w:w="15" w:type="dxa"/>
        </w:trPr>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Pr="009B69FF">
              <w:rPr>
                <w:rFonts w:ascii="Times New Roman" w:eastAsia="Times New Roman" w:hAnsi="Times New Roman" w:cs="Times New Roman"/>
                <w:sz w:val="24"/>
                <w:szCs w:val="24"/>
              </w:rPr>
              <w:t>Height</w:t>
            </w:r>
          </w:p>
        </w:tc>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sidRPr="009B69FF">
              <w:rPr>
                <w:rFonts w:ascii="Times New Roman" w:eastAsia="Times New Roman" w:hAnsi="Times New Roman" w:cs="Times New Roman"/>
                <w:sz w:val="24"/>
                <w:szCs w:val="24"/>
              </w:rPr>
              <w:t>158 cm</w:t>
            </w:r>
          </w:p>
        </w:tc>
      </w:tr>
      <w:tr w:rsidR="009B69FF" w:rsidRPr="009B69FF" w:rsidTr="009B69FF">
        <w:trPr>
          <w:tblCellSpacing w:w="15" w:type="dxa"/>
        </w:trPr>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sidRPr="009B69FF">
              <w:rPr>
                <w:rFonts w:ascii="Times New Roman" w:eastAsia="Times New Roman" w:hAnsi="Times New Roman" w:cs="Times New Roman"/>
                <w:sz w:val="24"/>
                <w:szCs w:val="24"/>
              </w:rPr>
              <w:t>Ethnicity/Country</w:t>
            </w:r>
          </w:p>
        </w:tc>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sidRPr="009B69FF">
              <w:rPr>
                <w:rFonts w:ascii="Times New Roman" w:eastAsia="Times New Roman" w:hAnsi="Times New Roman" w:cs="Times New Roman"/>
                <w:sz w:val="24"/>
                <w:szCs w:val="24"/>
              </w:rPr>
              <w:t>Indian</w:t>
            </w:r>
          </w:p>
        </w:tc>
      </w:tr>
      <w:tr w:rsidR="009B69FF" w:rsidRPr="009B69FF" w:rsidTr="009B69FF">
        <w:trPr>
          <w:tblCellSpacing w:w="15" w:type="dxa"/>
        </w:trPr>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7. </w:t>
            </w:r>
            <w:r w:rsidRPr="009B69FF">
              <w:rPr>
                <w:rFonts w:ascii="Times New Roman" w:eastAsia="Times New Roman" w:hAnsi="Times New Roman" w:cs="Times New Roman"/>
                <w:sz w:val="24"/>
                <w:szCs w:val="24"/>
              </w:rPr>
              <w:t>Relevant medical history</w:t>
            </w:r>
          </w:p>
        </w:tc>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sidRPr="009B69FF">
              <w:rPr>
                <w:rFonts w:ascii="Times New Roman" w:eastAsia="Times New Roman" w:hAnsi="Times New Roman" w:cs="Times New Roman"/>
                <w:sz w:val="24"/>
                <w:szCs w:val="24"/>
              </w:rPr>
              <w:t>Type 2 diabetes mellitus (8 years, on oral hypoglycemics), hypertension (5 years), no known drug allergies previously documented</w:t>
            </w:r>
          </w:p>
        </w:tc>
      </w:tr>
      <w:tr w:rsidR="009B69FF" w:rsidRPr="009B69FF" w:rsidTr="009B69FF">
        <w:trPr>
          <w:tblCellSpacing w:w="15" w:type="dxa"/>
        </w:trPr>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sidRPr="009B69FF">
              <w:rPr>
                <w:rFonts w:ascii="Times New Roman" w:eastAsia="Times New Roman" w:hAnsi="Times New Roman" w:cs="Times New Roman"/>
                <w:sz w:val="24"/>
                <w:szCs w:val="24"/>
              </w:rPr>
              <w:t>Relevant family history</w:t>
            </w:r>
          </w:p>
        </w:tc>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sidRPr="009B69FF">
              <w:rPr>
                <w:rFonts w:ascii="Times New Roman" w:eastAsia="Times New Roman" w:hAnsi="Times New Roman" w:cs="Times New Roman"/>
                <w:sz w:val="24"/>
                <w:szCs w:val="24"/>
              </w:rPr>
              <w:t>Mother — hypertension; no known family history of drug hypersensitivity</w:t>
            </w:r>
          </w:p>
        </w:tc>
      </w:tr>
      <w:tr w:rsidR="009B69FF" w:rsidRPr="009B69FF" w:rsidTr="009B69FF">
        <w:trPr>
          <w:tblCellSpacing w:w="15" w:type="dxa"/>
        </w:trPr>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r w:rsidRPr="009B69FF">
              <w:rPr>
                <w:rFonts w:ascii="Times New Roman" w:eastAsia="Times New Roman" w:hAnsi="Times New Roman" w:cs="Times New Roman"/>
                <w:sz w:val="24"/>
                <w:szCs w:val="24"/>
              </w:rPr>
              <w:t>Social history</w:t>
            </w:r>
          </w:p>
        </w:tc>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sidRPr="009B69FF">
              <w:rPr>
                <w:rFonts w:ascii="Times New Roman" w:eastAsia="Times New Roman" w:hAnsi="Times New Roman" w:cs="Times New Roman"/>
                <w:sz w:val="24"/>
                <w:szCs w:val="24"/>
              </w:rPr>
              <w:t>Non-smoker, occasional alcohol use, no herbal/OTC supplement use reported</w:t>
            </w:r>
          </w:p>
        </w:tc>
      </w:tr>
      <w:tr w:rsidR="009B69FF" w:rsidRPr="009B69FF" w:rsidTr="009B69FF">
        <w:trPr>
          <w:tblCellSpacing w:w="15" w:type="dxa"/>
        </w:trPr>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r w:rsidRPr="009B69FF">
              <w:rPr>
                <w:rFonts w:ascii="Times New Roman" w:eastAsia="Times New Roman" w:hAnsi="Times New Roman" w:cs="Times New Roman"/>
                <w:sz w:val="24"/>
                <w:szCs w:val="24"/>
              </w:rPr>
              <w:t>Pregnancy status</w:t>
            </w:r>
          </w:p>
        </w:tc>
        <w:tc>
          <w:tcPr>
            <w:tcW w:w="0" w:type="auto"/>
            <w:vAlign w:val="center"/>
            <w:hideMark/>
          </w:tcPr>
          <w:p w:rsidR="009B69FF" w:rsidRPr="009B69FF" w:rsidRDefault="009B69FF" w:rsidP="00FE1240">
            <w:pPr>
              <w:spacing w:after="0"/>
              <w:rPr>
                <w:rFonts w:ascii="Times New Roman" w:eastAsia="Times New Roman" w:hAnsi="Times New Roman" w:cs="Times New Roman"/>
                <w:sz w:val="24"/>
                <w:szCs w:val="24"/>
              </w:rPr>
            </w:pPr>
            <w:r w:rsidRPr="009B69FF">
              <w:rPr>
                <w:rFonts w:ascii="Times New Roman" w:eastAsia="Times New Roman" w:hAnsi="Times New Roman" w:cs="Times New Roman"/>
                <w:sz w:val="24"/>
                <w:szCs w:val="24"/>
              </w:rPr>
              <w:t>Not pregnant (postmenopausal</w:t>
            </w:r>
            <w:r>
              <w:rPr>
                <w:rFonts w:ascii="Times New Roman" w:eastAsia="Times New Roman" w:hAnsi="Times New Roman" w:cs="Times New Roman"/>
                <w:sz w:val="24"/>
                <w:szCs w:val="24"/>
              </w:rPr>
              <w:t>)</w:t>
            </w:r>
          </w:p>
        </w:tc>
      </w:tr>
    </w:tbl>
    <w:p w:rsidR="00781E62" w:rsidRDefault="00781E62" w:rsidP="00FE1240">
      <w:pPr>
        <w:jc w:val="both"/>
        <w:rPr>
          <w:rFonts w:ascii="Times New Roman" w:hAnsi="Times New Roman" w:cs="Times New Roman"/>
          <w:sz w:val="24"/>
          <w:szCs w:val="24"/>
        </w:rPr>
      </w:pPr>
    </w:p>
    <w:p w:rsidR="009B69FF" w:rsidRDefault="009B69FF" w:rsidP="00FE1240">
      <w:pPr>
        <w:jc w:val="both"/>
        <w:rPr>
          <w:rFonts w:ascii="Times New Roman" w:hAnsi="Times New Roman" w:cs="Times New Roman"/>
          <w:b/>
          <w:sz w:val="28"/>
          <w:szCs w:val="28"/>
        </w:rPr>
      </w:pPr>
      <w:r>
        <w:rPr>
          <w:rFonts w:ascii="Times New Roman" w:hAnsi="Times New Roman" w:cs="Times New Roman"/>
          <w:b/>
          <w:sz w:val="28"/>
          <w:szCs w:val="28"/>
        </w:rPr>
        <w:t>REACTION/EVENT:</w:t>
      </w:r>
    </w:p>
    <w:p w:rsidR="009B69FF" w:rsidRDefault="009B69FF" w:rsidP="00FE1240">
      <w:pPr>
        <w:jc w:val="both"/>
        <w:rPr>
          <w:rFonts w:ascii="Times New Roman" w:hAnsi="Times New Roman" w:cs="Times New Roman"/>
          <w:b/>
          <w:sz w:val="24"/>
          <w:szCs w:val="24"/>
        </w:rPr>
      </w:pPr>
      <w:r w:rsidRPr="009B69FF">
        <w:rPr>
          <w:rFonts w:ascii="Times New Roman" w:hAnsi="Times New Roman" w:cs="Times New Roman"/>
          <w:b/>
          <w:sz w:val="24"/>
          <w:szCs w:val="24"/>
        </w:rPr>
        <w:t>R</w:t>
      </w:r>
      <w:r>
        <w:rPr>
          <w:rFonts w:ascii="Times New Roman" w:hAnsi="Times New Roman" w:cs="Times New Roman"/>
          <w:b/>
          <w:sz w:val="24"/>
          <w:szCs w:val="24"/>
        </w:rPr>
        <w:t>eported Verbatim / Terminology</w:t>
      </w:r>
    </w:p>
    <w:p w:rsidR="009B69FF" w:rsidRPr="009B69FF" w:rsidRDefault="009B69FF" w:rsidP="00FE1240">
      <w:pPr>
        <w:jc w:val="both"/>
        <w:rPr>
          <w:rFonts w:ascii="Times New Roman" w:hAnsi="Times New Roman" w:cs="Times New Roman"/>
          <w:b/>
          <w:sz w:val="24"/>
          <w:szCs w:val="24"/>
        </w:rPr>
      </w:pPr>
      <w:r>
        <w:rPr>
          <w:rFonts w:ascii="Times New Roman" w:hAnsi="Times New Roman" w:cs="Times New Roman"/>
          <w:b/>
          <w:sz w:val="24"/>
          <w:szCs w:val="24"/>
        </w:rPr>
        <w:t>SYMPTOMS</w:t>
      </w:r>
    </w:p>
    <w:p w:rsidR="009B69FF" w:rsidRDefault="009B69FF" w:rsidP="00FE1240">
      <w:pPr>
        <w:jc w:val="both"/>
        <w:rPr>
          <w:rFonts w:ascii="Times New Roman" w:hAnsi="Times New Roman" w:cs="Times New Roman"/>
          <w:sz w:val="24"/>
          <w:szCs w:val="24"/>
        </w:rPr>
      </w:pPr>
      <w:r>
        <w:rPr>
          <w:rFonts w:ascii="Times New Roman" w:hAnsi="Times New Roman" w:cs="Times New Roman"/>
          <w:sz w:val="24"/>
          <w:szCs w:val="24"/>
        </w:rPr>
        <w:t>1. Low grade fever</w:t>
      </w:r>
    </w:p>
    <w:p w:rsidR="009B69FF" w:rsidRDefault="009B69FF" w:rsidP="00FE1240">
      <w:pPr>
        <w:jc w:val="both"/>
        <w:rPr>
          <w:rFonts w:ascii="Times New Roman" w:hAnsi="Times New Roman" w:cs="Times New Roman"/>
          <w:sz w:val="24"/>
          <w:szCs w:val="24"/>
        </w:rPr>
      </w:pPr>
      <w:r>
        <w:rPr>
          <w:rFonts w:ascii="Times New Roman" w:hAnsi="Times New Roman" w:cs="Times New Roman"/>
          <w:sz w:val="24"/>
          <w:szCs w:val="24"/>
        </w:rPr>
        <w:t>2. Erethematous maculopopular rash</w:t>
      </w:r>
    </w:p>
    <w:p w:rsidR="009B69FF" w:rsidRDefault="009B69FF" w:rsidP="00FE1240">
      <w:pPr>
        <w:jc w:val="both"/>
        <w:rPr>
          <w:rFonts w:ascii="Times New Roman" w:hAnsi="Times New Roman" w:cs="Times New Roman"/>
          <w:sz w:val="24"/>
          <w:szCs w:val="24"/>
        </w:rPr>
      </w:pPr>
      <w:r>
        <w:rPr>
          <w:rFonts w:ascii="Times New Roman" w:hAnsi="Times New Roman" w:cs="Times New Roman"/>
          <w:sz w:val="24"/>
          <w:szCs w:val="24"/>
        </w:rPr>
        <w:t>3. Pruritis</w:t>
      </w:r>
    </w:p>
    <w:p w:rsidR="009B69FF" w:rsidRDefault="009B69FF" w:rsidP="00FE1240">
      <w:pPr>
        <w:jc w:val="both"/>
        <w:rPr>
          <w:rFonts w:ascii="Times New Roman" w:hAnsi="Times New Roman" w:cs="Times New Roman"/>
          <w:sz w:val="24"/>
          <w:szCs w:val="24"/>
        </w:rPr>
      </w:pPr>
      <w:r>
        <w:rPr>
          <w:rFonts w:ascii="Times New Roman" w:hAnsi="Times New Roman" w:cs="Times New Roman"/>
          <w:sz w:val="24"/>
          <w:szCs w:val="24"/>
        </w:rPr>
        <w:t>4. Mild periorbital swelling</w:t>
      </w:r>
    </w:p>
    <w:p w:rsidR="009B69FF" w:rsidRDefault="009B69FF" w:rsidP="00FE1240">
      <w:pPr>
        <w:jc w:val="both"/>
        <w:rPr>
          <w:rFonts w:ascii="Times New Roman" w:hAnsi="Times New Roman" w:cs="Times New Roman"/>
          <w:sz w:val="24"/>
          <w:szCs w:val="24"/>
        </w:rPr>
      </w:pPr>
      <w:r>
        <w:rPr>
          <w:rFonts w:ascii="Times New Roman" w:hAnsi="Times New Roman" w:cs="Times New Roman"/>
          <w:sz w:val="24"/>
          <w:szCs w:val="24"/>
        </w:rPr>
        <w:t>5. Mild facial oedema</w:t>
      </w:r>
    </w:p>
    <w:p w:rsidR="009B69FF" w:rsidRDefault="009B69FF" w:rsidP="00FE1240">
      <w:pPr>
        <w:jc w:val="both"/>
        <w:rPr>
          <w:rFonts w:ascii="Times New Roman" w:hAnsi="Times New Roman" w:cs="Times New Roman"/>
          <w:sz w:val="24"/>
          <w:szCs w:val="24"/>
        </w:rPr>
      </w:pPr>
      <w:r>
        <w:rPr>
          <w:rFonts w:ascii="Times New Roman" w:hAnsi="Times New Roman" w:cs="Times New Roman"/>
          <w:sz w:val="24"/>
          <w:szCs w:val="24"/>
        </w:rPr>
        <w:t>6. Oral mucosal erosions</w:t>
      </w:r>
    </w:p>
    <w:p w:rsidR="009B69FF" w:rsidRDefault="009B69FF" w:rsidP="00FE1240">
      <w:pPr>
        <w:jc w:val="both"/>
        <w:rPr>
          <w:rFonts w:ascii="Times New Roman" w:hAnsi="Times New Roman" w:cs="Times New Roman"/>
          <w:sz w:val="24"/>
          <w:szCs w:val="24"/>
        </w:rPr>
      </w:pPr>
      <w:r>
        <w:rPr>
          <w:rFonts w:ascii="Times New Roman" w:hAnsi="Times New Roman" w:cs="Times New Roman"/>
          <w:sz w:val="24"/>
          <w:szCs w:val="24"/>
        </w:rPr>
        <w:t>7. Tachycardia</w:t>
      </w:r>
    </w:p>
    <w:p w:rsidR="009B69FF" w:rsidRDefault="009B69FF" w:rsidP="00FE1240">
      <w:pPr>
        <w:jc w:val="both"/>
        <w:rPr>
          <w:rFonts w:ascii="Times New Roman" w:hAnsi="Times New Roman" w:cs="Times New Roman"/>
          <w:b/>
          <w:sz w:val="24"/>
          <w:szCs w:val="24"/>
        </w:rPr>
      </w:pPr>
      <w:r>
        <w:rPr>
          <w:rFonts w:ascii="Times New Roman" w:hAnsi="Times New Roman" w:cs="Times New Roman"/>
          <w:b/>
          <w:sz w:val="24"/>
          <w:szCs w:val="24"/>
        </w:rPr>
        <w:t>DIAGNOSIS</w:t>
      </w:r>
    </w:p>
    <w:p w:rsidR="009B69FF" w:rsidRDefault="00AF78BF" w:rsidP="00FE1240">
      <w:pPr>
        <w:jc w:val="both"/>
        <w:rPr>
          <w:rFonts w:ascii="Times New Roman" w:hAnsi="Times New Roman" w:cs="Times New Roman"/>
          <w:sz w:val="24"/>
          <w:szCs w:val="24"/>
        </w:rPr>
      </w:pPr>
      <w:r>
        <w:rPr>
          <w:rFonts w:ascii="Times New Roman" w:hAnsi="Times New Roman" w:cs="Times New Roman"/>
          <w:sz w:val="24"/>
          <w:szCs w:val="24"/>
        </w:rPr>
        <w:t>1. Drug-induced hypersensitivity</w:t>
      </w:r>
    </w:p>
    <w:p w:rsidR="00AF78BF" w:rsidRDefault="00AF78BF" w:rsidP="00FE1240">
      <w:pPr>
        <w:jc w:val="both"/>
        <w:rPr>
          <w:rFonts w:ascii="Times New Roman" w:hAnsi="Times New Roman" w:cs="Times New Roman"/>
          <w:sz w:val="24"/>
          <w:szCs w:val="24"/>
        </w:rPr>
      </w:pPr>
      <w:r>
        <w:rPr>
          <w:rFonts w:ascii="Times New Roman" w:hAnsi="Times New Roman" w:cs="Times New Roman"/>
          <w:sz w:val="24"/>
          <w:szCs w:val="24"/>
        </w:rPr>
        <w:t>2. Early Stevens-Johnson Syndrome</w:t>
      </w:r>
    </w:p>
    <w:p w:rsidR="00E43BC8" w:rsidRPr="00AF78BF" w:rsidRDefault="00AF78BF" w:rsidP="00FE1240">
      <w:pPr>
        <w:jc w:val="both"/>
        <w:rPr>
          <w:rFonts w:ascii="Times New Roman" w:hAnsi="Times New Roman" w:cs="Times New Roman"/>
          <w:b/>
          <w:sz w:val="24"/>
          <w:szCs w:val="24"/>
        </w:rPr>
      </w:pPr>
      <w:r>
        <w:rPr>
          <w:rFonts w:ascii="Times New Roman" w:hAnsi="Times New Roman" w:cs="Times New Roman"/>
          <w:b/>
          <w:sz w:val="24"/>
          <w:szCs w:val="24"/>
        </w:rPr>
        <w:t>Standard MedDRA Terminology</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tblPr>
      <w:tblGrid>
        <w:gridCol w:w="2238"/>
        <w:gridCol w:w="3933"/>
        <w:gridCol w:w="3319"/>
      </w:tblGrid>
      <w:tr w:rsidR="00E43BC8" w:rsidRPr="00E43BC8" w:rsidTr="00E43BC8">
        <w:trPr>
          <w:tblHeader/>
          <w:tblCellSpacing w:w="15" w:type="dxa"/>
        </w:trPr>
        <w:tc>
          <w:tcPr>
            <w:tcW w:w="0" w:type="auto"/>
            <w:vAlign w:val="center"/>
            <w:hideMark/>
          </w:tcPr>
          <w:p w:rsidR="00E43BC8" w:rsidRPr="00E43BC8" w:rsidRDefault="00E43BC8" w:rsidP="00FE1240">
            <w:pPr>
              <w:spacing w:after="0"/>
              <w:jc w:val="center"/>
              <w:rPr>
                <w:rFonts w:ascii="Times New Roman" w:eastAsia="Times New Roman" w:hAnsi="Times New Roman" w:cs="Times New Roman"/>
                <w:b/>
                <w:bCs/>
                <w:sz w:val="24"/>
                <w:szCs w:val="24"/>
              </w:rPr>
            </w:pPr>
            <w:r w:rsidRPr="00E43BC8">
              <w:rPr>
                <w:rFonts w:ascii="Times New Roman" w:eastAsia="Times New Roman" w:hAnsi="Times New Roman" w:cs="Times New Roman"/>
                <w:b/>
                <w:bCs/>
                <w:sz w:val="24"/>
                <w:szCs w:val="24"/>
              </w:rPr>
              <w:t>Reported verbatim term</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b/>
                <w:bCs/>
                <w:sz w:val="24"/>
                <w:szCs w:val="24"/>
              </w:rPr>
            </w:pPr>
            <w:r w:rsidRPr="00E43BC8">
              <w:rPr>
                <w:rFonts w:ascii="Times New Roman" w:eastAsia="Times New Roman" w:hAnsi="Times New Roman" w:cs="Times New Roman"/>
                <w:b/>
                <w:bCs/>
                <w:sz w:val="24"/>
                <w:szCs w:val="24"/>
              </w:rPr>
              <w:t>Suggested MedDRA Preferred Term (PT)</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b/>
                <w:bCs/>
                <w:sz w:val="24"/>
                <w:szCs w:val="24"/>
              </w:rPr>
            </w:pPr>
            <w:r w:rsidRPr="00E43BC8">
              <w:rPr>
                <w:rFonts w:ascii="Times New Roman" w:eastAsia="Times New Roman" w:hAnsi="Times New Roman" w:cs="Times New Roman"/>
                <w:b/>
                <w:bCs/>
                <w:sz w:val="24"/>
                <w:szCs w:val="24"/>
              </w:rPr>
              <w:t>SOC</w:t>
            </w:r>
          </w:p>
        </w:tc>
      </w:tr>
      <w:tr w:rsidR="00E43BC8" w:rsidRPr="00E43BC8" w:rsidTr="00E43BC8">
        <w:trPr>
          <w:tblCellSpacing w:w="15" w:type="dxa"/>
        </w:trPr>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Low grade fever</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bCs/>
                <w:sz w:val="24"/>
                <w:szCs w:val="24"/>
              </w:rPr>
              <w:t>Pyrexia</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General disorders and administration site conditions</w:t>
            </w:r>
          </w:p>
        </w:tc>
      </w:tr>
      <w:tr w:rsidR="00E43BC8" w:rsidRPr="00E43BC8" w:rsidTr="00E43BC8">
        <w:trPr>
          <w:tblCellSpacing w:w="15" w:type="dxa"/>
        </w:trPr>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Erythematous maculopapular rash</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bCs/>
                <w:sz w:val="24"/>
                <w:szCs w:val="24"/>
              </w:rPr>
              <w:t>Rash maculo-papular</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Skin and subcutaneous tissue disorders</w:t>
            </w:r>
          </w:p>
        </w:tc>
      </w:tr>
      <w:tr w:rsidR="00E43BC8" w:rsidRPr="00E43BC8" w:rsidTr="00E43BC8">
        <w:trPr>
          <w:tblCellSpacing w:w="15" w:type="dxa"/>
        </w:trPr>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lastRenderedPageBreak/>
              <w:t>Pruritis</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bCs/>
                <w:sz w:val="24"/>
                <w:szCs w:val="24"/>
              </w:rPr>
              <w:t>Pruritus</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Skin and subcutaneous tissue disorders</w:t>
            </w:r>
          </w:p>
        </w:tc>
      </w:tr>
      <w:tr w:rsidR="00E43BC8" w:rsidRPr="00E43BC8" w:rsidTr="00E43BC8">
        <w:trPr>
          <w:tblCellSpacing w:w="15" w:type="dxa"/>
        </w:trPr>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Mild periorbital swelling</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bCs/>
                <w:sz w:val="24"/>
                <w:szCs w:val="24"/>
              </w:rPr>
              <w:t>Periorbital oedema</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Eye disorders</w:t>
            </w:r>
          </w:p>
        </w:tc>
      </w:tr>
      <w:tr w:rsidR="00E43BC8" w:rsidRPr="00E43BC8" w:rsidTr="00E43BC8">
        <w:trPr>
          <w:tblCellSpacing w:w="15" w:type="dxa"/>
        </w:trPr>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Mild facial oedema</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bCs/>
                <w:sz w:val="24"/>
                <w:szCs w:val="24"/>
              </w:rPr>
              <w:t>Face oedema</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General disorders and administration site conditions</w:t>
            </w:r>
          </w:p>
        </w:tc>
      </w:tr>
      <w:tr w:rsidR="00E43BC8" w:rsidRPr="00E43BC8" w:rsidTr="00E43BC8">
        <w:trPr>
          <w:tblCellSpacing w:w="15" w:type="dxa"/>
        </w:trPr>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Oral mucosal erosions</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bCs/>
                <w:sz w:val="24"/>
                <w:szCs w:val="24"/>
              </w:rPr>
              <w:t>Mucosal erosion</w:t>
            </w:r>
            <w:r w:rsidRPr="00E43BC8">
              <w:rPr>
                <w:rFonts w:ascii="Times New Roman" w:eastAsia="Times New Roman" w:hAnsi="Times New Roman" w:cs="Times New Roman"/>
                <w:sz w:val="24"/>
                <w:szCs w:val="24"/>
              </w:rPr>
              <w:t xml:space="preserve"> / </w:t>
            </w:r>
            <w:r w:rsidRPr="00E43BC8">
              <w:rPr>
                <w:rFonts w:ascii="Times New Roman" w:eastAsia="Times New Roman" w:hAnsi="Times New Roman" w:cs="Times New Roman"/>
                <w:bCs/>
                <w:sz w:val="24"/>
                <w:szCs w:val="24"/>
              </w:rPr>
              <w:t>Oral mucosal blistering</w:t>
            </w:r>
            <w:r w:rsidRPr="00E43BC8">
              <w:rPr>
                <w:rFonts w:ascii="Times New Roman" w:eastAsia="Times New Roman" w:hAnsi="Times New Roman" w:cs="Times New Roman"/>
                <w:sz w:val="24"/>
                <w:szCs w:val="24"/>
              </w:rPr>
              <w:t xml:space="preserve"> depending on the exact documented concept</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Skin and subcutaneous tissue disorders / Gastrointestinal disorders*</w:t>
            </w:r>
          </w:p>
        </w:tc>
      </w:tr>
      <w:tr w:rsidR="00E43BC8" w:rsidRPr="00E43BC8" w:rsidTr="00E43BC8">
        <w:trPr>
          <w:tblCellSpacing w:w="15" w:type="dxa"/>
        </w:trPr>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Tachycardia</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bCs/>
                <w:sz w:val="24"/>
                <w:szCs w:val="24"/>
              </w:rPr>
              <w:t>Tachycardia</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Cardiac disorders</w:t>
            </w:r>
          </w:p>
        </w:tc>
      </w:tr>
      <w:tr w:rsidR="00E43BC8" w:rsidRPr="00E43BC8" w:rsidTr="00E43BC8">
        <w:trPr>
          <w:tblCellSpacing w:w="15" w:type="dxa"/>
        </w:trPr>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Drug-induced hypersensitivity</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bCs/>
                <w:sz w:val="24"/>
                <w:szCs w:val="24"/>
              </w:rPr>
              <w:t>Drug hypersensitivity</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Immune system disorders</w:t>
            </w:r>
          </w:p>
        </w:tc>
      </w:tr>
      <w:tr w:rsidR="00E43BC8" w:rsidRPr="00E43BC8" w:rsidTr="00E43BC8">
        <w:trPr>
          <w:tblCellSpacing w:w="15" w:type="dxa"/>
        </w:trPr>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Early Stevens-Johnson Syndrome</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bCs/>
                <w:sz w:val="24"/>
                <w:szCs w:val="24"/>
              </w:rPr>
              <w:t>Stevens-Johnson syndrome</w:t>
            </w:r>
          </w:p>
        </w:tc>
        <w:tc>
          <w:tcPr>
            <w:tcW w:w="0" w:type="auto"/>
            <w:vAlign w:val="center"/>
            <w:hideMark/>
          </w:tcPr>
          <w:p w:rsidR="00E43BC8" w:rsidRPr="00E43BC8" w:rsidRDefault="00E43BC8" w:rsidP="00FE1240">
            <w:pPr>
              <w:spacing w:after="0"/>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Skin and subcutaneous tissue disorders</w:t>
            </w:r>
          </w:p>
        </w:tc>
      </w:tr>
    </w:tbl>
    <w:p w:rsidR="00E43BC8" w:rsidRDefault="00E43BC8" w:rsidP="00FE1240">
      <w:pPr>
        <w:jc w:val="both"/>
        <w:rPr>
          <w:rFonts w:ascii="Times New Roman" w:hAnsi="Times New Roman" w:cs="Times New Roman"/>
          <w:sz w:val="24"/>
          <w:szCs w:val="24"/>
        </w:rPr>
      </w:pPr>
      <w:r w:rsidRPr="00E43BC8">
        <w:rPr>
          <w:rFonts w:ascii="Times New Roman" w:hAnsi="Times New Roman" w:cs="Times New Roman"/>
          <w:sz w:val="24"/>
          <w:szCs w:val="24"/>
        </w:rPr>
        <w:t>*The exact SOC/term placement can depend on the MedDRA version and the precise concept selected.</w:t>
      </w:r>
    </w:p>
    <w:p w:rsidR="00FE1240" w:rsidRDefault="00FE1240" w:rsidP="00FE1240">
      <w:pPr>
        <w:jc w:val="both"/>
        <w:rPr>
          <w:rFonts w:ascii="Times New Roman" w:hAnsi="Times New Roman" w:cs="Times New Roman"/>
          <w:b/>
          <w:sz w:val="28"/>
          <w:szCs w:val="28"/>
        </w:rPr>
      </w:pPr>
      <w:r>
        <w:rPr>
          <w:rFonts w:ascii="Times New Roman" w:hAnsi="Times New Roman" w:cs="Times New Roman"/>
          <w:b/>
          <w:sz w:val="28"/>
          <w:szCs w:val="28"/>
        </w:rPr>
        <w:t>SUSPECTED DRUG DETAILS:</w:t>
      </w:r>
    </w:p>
    <w:p w:rsidR="00FE1240" w:rsidRPr="00FE1240" w:rsidRDefault="00FE1240" w:rsidP="00FE1240">
      <w:pPr>
        <w:pStyle w:val="ListParagraph"/>
        <w:numPr>
          <w:ilvl w:val="0"/>
          <w:numId w:val="1"/>
        </w:numPr>
        <w:jc w:val="both"/>
        <w:rPr>
          <w:rFonts w:ascii="Times New Roman" w:hAnsi="Times New Roman" w:cs="Times New Roman"/>
          <w:sz w:val="24"/>
          <w:szCs w:val="24"/>
        </w:rPr>
      </w:pPr>
      <w:r w:rsidRPr="00FE1240">
        <w:rPr>
          <w:rFonts w:ascii="Times New Roman" w:hAnsi="Times New Roman" w:cs="Times New Roman"/>
          <w:sz w:val="24"/>
          <w:szCs w:val="24"/>
        </w:rPr>
        <w:t>Drug name (suspect #1) - Sulfamethoxazole/Trimethoprim (Co-trimoxazole) 800/160 mg</w:t>
      </w:r>
    </w:p>
    <w:p w:rsidR="00FE1240" w:rsidRPr="00FE1240" w:rsidRDefault="00FE1240" w:rsidP="00FE1240">
      <w:pPr>
        <w:pStyle w:val="ListParagraph"/>
        <w:numPr>
          <w:ilvl w:val="0"/>
          <w:numId w:val="1"/>
        </w:numPr>
        <w:jc w:val="both"/>
        <w:rPr>
          <w:rFonts w:ascii="Times New Roman" w:hAnsi="Times New Roman" w:cs="Times New Roman"/>
          <w:sz w:val="24"/>
          <w:szCs w:val="24"/>
        </w:rPr>
      </w:pPr>
      <w:r w:rsidRPr="00FE1240">
        <w:rPr>
          <w:rFonts w:ascii="Times New Roman" w:hAnsi="Times New Roman" w:cs="Times New Roman"/>
          <w:sz w:val="24"/>
          <w:szCs w:val="24"/>
        </w:rPr>
        <w:t>Indication for use - Urinary tract infection (empirical therapy)</w:t>
      </w:r>
    </w:p>
    <w:p w:rsidR="00FE1240" w:rsidRPr="00FE1240" w:rsidRDefault="00FE1240" w:rsidP="00FE1240">
      <w:pPr>
        <w:pStyle w:val="ListParagraph"/>
        <w:numPr>
          <w:ilvl w:val="0"/>
          <w:numId w:val="1"/>
        </w:numPr>
        <w:jc w:val="both"/>
        <w:rPr>
          <w:rFonts w:ascii="Times New Roman" w:hAnsi="Times New Roman" w:cs="Times New Roman"/>
          <w:sz w:val="24"/>
          <w:szCs w:val="24"/>
        </w:rPr>
      </w:pPr>
      <w:r w:rsidRPr="00FE1240">
        <w:rPr>
          <w:rFonts w:ascii="Times New Roman" w:hAnsi="Times New Roman" w:cs="Times New Roman"/>
          <w:sz w:val="24"/>
          <w:szCs w:val="24"/>
        </w:rPr>
        <w:t>Dose/frequency/route - 1 tablet (800/160 mg) twice daily, oral</w:t>
      </w:r>
    </w:p>
    <w:p w:rsidR="00FE1240" w:rsidRPr="00FE1240" w:rsidRDefault="00FE1240" w:rsidP="00FE1240">
      <w:pPr>
        <w:pStyle w:val="ListParagraph"/>
        <w:numPr>
          <w:ilvl w:val="0"/>
          <w:numId w:val="1"/>
        </w:numPr>
        <w:jc w:val="both"/>
        <w:rPr>
          <w:rFonts w:ascii="Times New Roman" w:hAnsi="Times New Roman" w:cs="Times New Roman"/>
          <w:sz w:val="24"/>
          <w:szCs w:val="24"/>
        </w:rPr>
      </w:pPr>
      <w:r w:rsidRPr="00FE1240">
        <w:rPr>
          <w:rFonts w:ascii="Times New Roman" w:hAnsi="Times New Roman" w:cs="Times New Roman"/>
          <w:sz w:val="24"/>
          <w:szCs w:val="24"/>
        </w:rPr>
        <w:t>Start date - 22-Jul-2026</w:t>
      </w:r>
    </w:p>
    <w:p w:rsidR="00FE1240" w:rsidRPr="00FE1240" w:rsidRDefault="00FE1240" w:rsidP="00FE1240">
      <w:pPr>
        <w:pStyle w:val="ListParagraph"/>
        <w:numPr>
          <w:ilvl w:val="0"/>
          <w:numId w:val="1"/>
        </w:numPr>
        <w:jc w:val="both"/>
        <w:rPr>
          <w:rFonts w:ascii="Times New Roman" w:hAnsi="Times New Roman" w:cs="Times New Roman"/>
          <w:sz w:val="24"/>
          <w:szCs w:val="24"/>
        </w:rPr>
      </w:pPr>
      <w:r w:rsidRPr="00FE1240">
        <w:rPr>
          <w:rFonts w:ascii="Times New Roman" w:hAnsi="Times New Roman" w:cs="Times New Roman"/>
          <w:sz w:val="24"/>
          <w:szCs w:val="24"/>
        </w:rPr>
        <w:t>Stop date - 29-Jul-2026 (discontinued on ADR onset)</w:t>
      </w:r>
    </w:p>
    <w:p w:rsidR="00FE1240" w:rsidRPr="00FE1240" w:rsidRDefault="00FE1240" w:rsidP="00FE1240">
      <w:pPr>
        <w:pStyle w:val="ListParagraph"/>
        <w:numPr>
          <w:ilvl w:val="0"/>
          <w:numId w:val="1"/>
        </w:numPr>
        <w:jc w:val="both"/>
        <w:rPr>
          <w:rFonts w:ascii="Times New Roman" w:hAnsi="Times New Roman" w:cs="Times New Roman"/>
          <w:sz w:val="24"/>
          <w:szCs w:val="24"/>
        </w:rPr>
      </w:pPr>
      <w:r w:rsidRPr="00FE1240">
        <w:rPr>
          <w:rFonts w:ascii="Times New Roman" w:hAnsi="Times New Roman" w:cs="Times New Roman"/>
          <w:sz w:val="24"/>
          <w:szCs w:val="24"/>
        </w:rPr>
        <w:t>Duration of use prior to reaction - 7 days</w:t>
      </w:r>
    </w:p>
    <w:p w:rsidR="00FE1240" w:rsidRPr="00FE1240" w:rsidRDefault="00FE1240" w:rsidP="00FE1240">
      <w:pPr>
        <w:pStyle w:val="ListParagraph"/>
        <w:numPr>
          <w:ilvl w:val="0"/>
          <w:numId w:val="1"/>
        </w:numPr>
        <w:jc w:val="both"/>
        <w:rPr>
          <w:rFonts w:ascii="Times New Roman" w:hAnsi="Times New Roman" w:cs="Times New Roman"/>
          <w:sz w:val="24"/>
          <w:szCs w:val="24"/>
        </w:rPr>
      </w:pPr>
      <w:r w:rsidRPr="00FE1240">
        <w:rPr>
          <w:rFonts w:ascii="Times New Roman" w:hAnsi="Times New Roman" w:cs="Times New Roman"/>
          <w:sz w:val="24"/>
          <w:szCs w:val="24"/>
        </w:rPr>
        <w:t>Batch/Lot number - Not provided by reporter (to be requested in follow-up)</w:t>
      </w:r>
    </w:p>
    <w:p w:rsidR="00FE1240" w:rsidRPr="00FE1240" w:rsidRDefault="00FE1240" w:rsidP="00FE1240">
      <w:pPr>
        <w:pStyle w:val="ListParagraph"/>
        <w:numPr>
          <w:ilvl w:val="0"/>
          <w:numId w:val="1"/>
        </w:numPr>
        <w:jc w:val="both"/>
        <w:rPr>
          <w:rFonts w:ascii="Times New Roman" w:hAnsi="Times New Roman" w:cs="Times New Roman"/>
          <w:sz w:val="24"/>
          <w:szCs w:val="24"/>
        </w:rPr>
      </w:pPr>
      <w:r w:rsidRPr="00FE1240">
        <w:rPr>
          <w:rFonts w:ascii="Times New Roman" w:hAnsi="Times New Roman" w:cs="Times New Roman"/>
          <w:sz w:val="24"/>
          <w:szCs w:val="24"/>
        </w:rPr>
        <w:t>Action taken with drug - Drug withdrawn</w:t>
      </w:r>
    </w:p>
    <w:p w:rsidR="00FE1240" w:rsidRPr="00FE1240" w:rsidRDefault="00FE1240" w:rsidP="00FE1240">
      <w:pPr>
        <w:pStyle w:val="ListParagraph"/>
        <w:numPr>
          <w:ilvl w:val="0"/>
          <w:numId w:val="1"/>
        </w:numPr>
        <w:jc w:val="both"/>
        <w:rPr>
          <w:rFonts w:ascii="Times New Roman" w:hAnsi="Times New Roman" w:cs="Times New Roman"/>
          <w:sz w:val="24"/>
          <w:szCs w:val="24"/>
        </w:rPr>
      </w:pPr>
      <w:r w:rsidRPr="00FE1240">
        <w:rPr>
          <w:rFonts w:ascii="Times New Roman" w:hAnsi="Times New Roman" w:cs="Times New Roman"/>
          <w:sz w:val="24"/>
          <w:szCs w:val="24"/>
        </w:rPr>
        <w:t>Dechallenge - Positive — rash and fever began resolving within 72 hours of withdrawal</w:t>
      </w:r>
    </w:p>
    <w:p w:rsidR="00FE1240" w:rsidRPr="00FE1240" w:rsidRDefault="00FE1240" w:rsidP="00FE1240">
      <w:pPr>
        <w:pStyle w:val="ListParagraph"/>
        <w:numPr>
          <w:ilvl w:val="0"/>
          <w:numId w:val="1"/>
        </w:numPr>
        <w:jc w:val="both"/>
        <w:rPr>
          <w:rFonts w:ascii="Times New Roman" w:hAnsi="Times New Roman" w:cs="Times New Roman"/>
          <w:sz w:val="24"/>
          <w:szCs w:val="24"/>
        </w:rPr>
      </w:pPr>
      <w:r w:rsidRPr="00FE1240">
        <w:rPr>
          <w:rFonts w:ascii="Times New Roman" w:hAnsi="Times New Roman" w:cs="Times New Roman"/>
          <w:sz w:val="24"/>
          <w:szCs w:val="24"/>
        </w:rPr>
        <w:t>Rechallenge - Not done (contraindicated given reaction severity)</w:t>
      </w:r>
    </w:p>
    <w:p w:rsidR="00E43BC8" w:rsidRPr="00FE1240" w:rsidRDefault="00FE1240" w:rsidP="00FE1240">
      <w:pPr>
        <w:jc w:val="both"/>
        <w:rPr>
          <w:rFonts w:ascii="Times New Roman" w:hAnsi="Times New Roman" w:cs="Times New Roman"/>
          <w:b/>
          <w:sz w:val="28"/>
          <w:szCs w:val="28"/>
        </w:rPr>
      </w:pPr>
      <w:r>
        <w:rPr>
          <w:rFonts w:ascii="Times New Roman" w:hAnsi="Times New Roman" w:cs="Times New Roman"/>
          <w:b/>
          <w:sz w:val="28"/>
          <w:szCs w:val="28"/>
        </w:rPr>
        <w:t>DRUG DETAILS (CONCOMITANT):</w:t>
      </w:r>
    </w:p>
    <w:tbl>
      <w:tblPr>
        <w:tblW w:w="0" w:type="auto"/>
        <w:tblCellSpacing w:w="15" w:type="dxa"/>
        <w:tblCellMar>
          <w:top w:w="15" w:type="dxa"/>
          <w:left w:w="15" w:type="dxa"/>
          <w:bottom w:w="15" w:type="dxa"/>
          <w:right w:w="15" w:type="dxa"/>
        </w:tblCellMar>
        <w:tblLook w:val="04A0"/>
      </w:tblPr>
      <w:tblGrid>
        <w:gridCol w:w="1262"/>
        <w:gridCol w:w="4448"/>
        <w:gridCol w:w="1583"/>
        <w:gridCol w:w="1119"/>
        <w:gridCol w:w="1038"/>
      </w:tblGrid>
      <w:tr w:rsidR="00E43BC8" w:rsidRPr="00E43BC8" w:rsidTr="00E43BC8">
        <w:trPr>
          <w:tblHeader/>
          <w:tblCellSpacing w:w="15" w:type="dxa"/>
        </w:trPr>
        <w:tc>
          <w:tcPr>
            <w:tcW w:w="0" w:type="auto"/>
            <w:vAlign w:val="center"/>
            <w:hideMark/>
          </w:tcPr>
          <w:p w:rsidR="00E43BC8" w:rsidRPr="00E43BC8" w:rsidRDefault="00E43BC8" w:rsidP="00FE1240">
            <w:pPr>
              <w:spacing w:after="0"/>
              <w:jc w:val="center"/>
              <w:rPr>
                <w:rFonts w:ascii="Times New Roman" w:eastAsia="Times New Roman" w:hAnsi="Times New Roman" w:cs="Times New Roman"/>
                <w:b/>
                <w:bCs/>
                <w:sz w:val="24"/>
                <w:szCs w:val="24"/>
              </w:rPr>
            </w:pPr>
            <w:r w:rsidRPr="00E43BC8">
              <w:rPr>
                <w:rFonts w:ascii="Times New Roman" w:eastAsia="Times New Roman" w:hAnsi="Times New Roman" w:cs="Times New Roman"/>
                <w:b/>
                <w:bCs/>
                <w:sz w:val="24"/>
                <w:szCs w:val="24"/>
              </w:rPr>
              <w:t>Drug</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b/>
                <w:bCs/>
                <w:sz w:val="24"/>
                <w:szCs w:val="24"/>
              </w:rPr>
            </w:pPr>
            <w:r w:rsidRPr="00E43BC8">
              <w:rPr>
                <w:rFonts w:ascii="Times New Roman" w:eastAsia="Times New Roman" w:hAnsi="Times New Roman" w:cs="Times New Roman"/>
                <w:b/>
                <w:bCs/>
                <w:sz w:val="24"/>
                <w:szCs w:val="24"/>
              </w:rPr>
              <w:t>Indication</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b/>
                <w:bCs/>
                <w:sz w:val="24"/>
                <w:szCs w:val="24"/>
              </w:rPr>
            </w:pPr>
            <w:r w:rsidRPr="00E43BC8">
              <w:rPr>
                <w:rFonts w:ascii="Times New Roman" w:eastAsia="Times New Roman" w:hAnsi="Times New Roman" w:cs="Times New Roman"/>
                <w:b/>
                <w:bCs/>
                <w:sz w:val="24"/>
                <w:szCs w:val="24"/>
              </w:rPr>
              <w:t>Dose</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b/>
                <w:bCs/>
                <w:sz w:val="24"/>
                <w:szCs w:val="24"/>
              </w:rPr>
            </w:pPr>
            <w:r w:rsidRPr="00E43BC8">
              <w:rPr>
                <w:rFonts w:ascii="Times New Roman" w:eastAsia="Times New Roman" w:hAnsi="Times New Roman" w:cs="Times New Roman"/>
                <w:b/>
                <w:bCs/>
                <w:sz w:val="24"/>
                <w:szCs w:val="24"/>
              </w:rPr>
              <w:t>Start date</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b/>
                <w:bCs/>
                <w:sz w:val="24"/>
                <w:szCs w:val="24"/>
              </w:rPr>
            </w:pPr>
            <w:r w:rsidRPr="00E43BC8">
              <w:rPr>
                <w:rFonts w:ascii="Times New Roman" w:eastAsia="Times New Roman" w:hAnsi="Times New Roman" w:cs="Times New Roman"/>
                <w:b/>
                <w:bCs/>
                <w:sz w:val="24"/>
                <w:szCs w:val="24"/>
              </w:rPr>
              <w:t>Ongoing</w:t>
            </w:r>
          </w:p>
        </w:tc>
      </w:tr>
      <w:tr w:rsidR="00E43BC8" w:rsidRPr="00E43BC8" w:rsidTr="00E43BC8">
        <w:trPr>
          <w:tblCellSpacing w:w="15" w:type="dxa"/>
        </w:trPr>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Metformin</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T2DM</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500 mg BID, oral</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~2018</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Yes</w:t>
            </w:r>
          </w:p>
        </w:tc>
      </w:tr>
      <w:tr w:rsidR="00E43BC8" w:rsidRPr="00E43BC8" w:rsidTr="00E43BC8">
        <w:trPr>
          <w:tblCellSpacing w:w="15" w:type="dxa"/>
        </w:trPr>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Glimepiride</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T2DM</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2 mg OD, oral</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~2018</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Yes</w:t>
            </w:r>
          </w:p>
        </w:tc>
      </w:tr>
      <w:tr w:rsidR="00E43BC8" w:rsidRPr="00E43BC8" w:rsidTr="00E43BC8">
        <w:trPr>
          <w:tblCellSpacing w:w="15" w:type="dxa"/>
        </w:trPr>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lastRenderedPageBreak/>
              <w:t>Amlodipine</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Hypertension</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5 mg OD, oral</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~2021</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Yes</w:t>
            </w:r>
          </w:p>
        </w:tc>
      </w:tr>
      <w:tr w:rsidR="00E43BC8" w:rsidRPr="00E43BC8" w:rsidTr="00E43BC8">
        <w:trPr>
          <w:tblCellSpacing w:w="15" w:type="dxa"/>
        </w:trPr>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Paracetamol</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Fever (symptomatic, self-medicated after rash onset)</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650 mg PRN, oral</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28-Jul-2026</w:t>
            </w:r>
          </w:p>
        </w:tc>
        <w:tc>
          <w:tcPr>
            <w:tcW w:w="0" w:type="auto"/>
            <w:vAlign w:val="center"/>
            <w:hideMark/>
          </w:tcPr>
          <w:p w:rsidR="00E43BC8" w:rsidRPr="00E43BC8" w:rsidRDefault="00E43BC8" w:rsidP="00FE1240">
            <w:pPr>
              <w:spacing w:after="0"/>
              <w:jc w:val="center"/>
              <w:rPr>
                <w:rFonts w:ascii="Times New Roman" w:eastAsia="Times New Roman" w:hAnsi="Times New Roman" w:cs="Times New Roman"/>
                <w:sz w:val="24"/>
                <w:szCs w:val="24"/>
              </w:rPr>
            </w:pPr>
            <w:r w:rsidRPr="00E43BC8">
              <w:rPr>
                <w:rFonts w:ascii="Times New Roman" w:eastAsia="Times New Roman" w:hAnsi="Times New Roman" w:cs="Times New Roman"/>
                <w:sz w:val="24"/>
                <w:szCs w:val="24"/>
              </w:rPr>
              <w:t>No (PRN)</w:t>
            </w:r>
          </w:p>
        </w:tc>
      </w:tr>
    </w:tbl>
    <w:p w:rsidR="00E43BC8" w:rsidRDefault="00E43BC8" w:rsidP="00FE1240">
      <w:pPr>
        <w:jc w:val="both"/>
        <w:rPr>
          <w:rFonts w:ascii="Times New Roman" w:hAnsi="Times New Roman" w:cs="Times New Roman"/>
          <w:b/>
          <w:sz w:val="24"/>
          <w:szCs w:val="24"/>
        </w:rPr>
      </w:pPr>
    </w:p>
    <w:p w:rsidR="00FE1240" w:rsidRDefault="00FE1240" w:rsidP="00FE1240">
      <w:pPr>
        <w:jc w:val="both"/>
        <w:rPr>
          <w:rFonts w:ascii="Times New Roman" w:hAnsi="Times New Roman" w:cs="Times New Roman"/>
          <w:b/>
          <w:sz w:val="28"/>
          <w:szCs w:val="28"/>
        </w:rPr>
      </w:pPr>
      <w:r>
        <w:rPr>
          <w:rFonts w:ascii="Times New Roman" w:hAnsi="Times New Roman" w:cs="Times New Roman"/>
          <w:b/>
          <w:sz w:val="28"/>
          <w:szCs w:val="28"/>
        </w:rPr>
        <w:t>NARRATICE CASE SUMMARY:</w:t>
      </w:r>
    </w:p>
    <w:p w:rsidR="00FE1240" w:rsidRDefault="00FE1240" w:rsidP="00FE1240">
      <w:pPr>
        <w:pStyle w:val="pdq2pgselectionanchorcontainer"/>
        <w:spacing w:line="276" w:lineRule="auto"/>
      </w:pPr>
      <w:r>
        <w:t>A 52-year-old woman with a history of type 2 diabetes and hypertension was prescribed co-trimoxazole 800/160 mg twice daily on 22-Jul-2026 for a culture-confirmed urinary tract infection. She remained well for the first five days. On Day 6, she developed a low-grade fever followed by a red, maculopapular rash that started on the trunk and gradually spread to both upper limbs. The rash became more widespread and was associated with itching, mild swelling around the eyes and facial oedema. She subsequently developed oral soreness with two small erosions on the buccal mucosa.</w:t>
      </w:r>
    </w:p>
    <w:p w:rsidR="00FE1240" w:rsidRDefault="00FE1240" w:rsidP="00FE1240">
      <w:pPr>
        <w:pStyle w:val="NormalWeb"/>
        <w:spacing w:line="276" w:lineRule="auto"/>
      </w:pPr>
      <w:r>
        <w:t>She was admitted on 29-Jul-2026 with fever, mild tachycardia and a widespread maculopapular rash with early target-like lesions. Mild facial oedema and two shallow oral erosions were also noted. There was no skin peeling, positive Nikolsky sign, or ocular/genital involvement. A drug-induced hypersensitivity reaction was considered, with early Stevens-Johnson syndrome included in the differential diagnosis because of the mucosal involvement.</w:t>
      </w:r>
    </w:p>
    <w:p w:rsidR="00FE1240" w:rsidRDefault="00FE1240" w:rsidP="00FE1240">
      <w:pPr>
        <w:pStyle w:val="NormalWeb"/>
        <w:spacing w:line="276" w:lineRule="auto"/>
      </w:pPr>
      <w:r>
        <w:t>Co-trimoxazole was considered the most likely causative drug based on the timing of the reaction and was stopped immediately. She received supportive treatment with IV fluids, cetirizine, topical emollients and a short course of oral prednisolone. Her regular medications, including metformin, glimepiride and amlodipine, were continued as they had been taken for several years without any previous reactions. Dermatology review supported the diagnosis of a co-trimoxazole-induced hypersensitivity reaction within the SJS spectrum.</w:t>
      </w:r>
    </w:p>
    <w:p w:rsidR="00FE1240" w:rsidRDefault="00FE1240" w:rsidP="00FE1240">
      <w:pPr>
        <w:pStyle w:val="NormalWeb"/>
        <w:spacing w:line="276" w:lineRule="auto"/>
      </w:pPr>
      <w:r>
        <w:t>Over the next few days, her condition improved. By 31-Jul-2026, the fever had settled, the rash was fading with some post-inflammatory hyperpigmentation, and the oral erosions were healing. She was discharged in a stable condition on 01-Aug-2026 and was advised to avoid sulfonamide antibiotics in the future. An allergy alert was also added to her medical records.</w:t>
      </w:r>
    </w:p>
    <w:p w:rsidR="00FE1240" w:rsidRDefault="00593125" w:rsidP="00FE1240">
      <w:pPr>
        <w:pStyle w:val="NormalWeb"/>
        <w:spacing w:line="276" w:lineRule="auto"/>
        <w:rPr>
          <w:b/>
          <w:sz w:val="28"/>
          <w:szCs w:val="28"/>
        </w:rPr>
      </w:pPr>
      <w:r>
        <w:rPr>
          <w:b/>
          <w:sz w:val="28"/>
          <w:szCs w:val="28"/>
        </w:rPr>
        <w:t>SEVERITY ASSESSMENT:</w:t>
      </w:r>
    </w:p>
    <w:p w:rsidR="00593125" w:rsidRPr="00593125" w:rsidRDefault="00593125" w:rsidP="00FE1240">
      <w:pPr>
        <w:pStyle w:val="NormalWeb"/>
        <w:spacing w:line="276" w:lineRule="auto"/>
      </w:pPr>
      <w:r>
        <w:t>The patient was admitted to the hospital on 29-Jul-2026 and was discharged in a stable condition on 01-Aug-2026. The ADR was the reason for the admission and the length of stay was 3 to 4 days. There is no indication of intensive medical care. This indicates that the severity grade of the reaction in this case is, Severity Grade 4.</w:t>
      </w:r>
    </w:p>
    <w:p w:rsidR="00593125" w:rsidRDefault="00593125" w:rsidP="00593125">
      <w:pPr>
        <w:pStyle w:val="NormalWeb"/>
        <w:spacing w:line="276" w:lineRule="auto"/>
        <w:jc w:val="center"/>
      </w:pPr>
      <w:r>
        <w:rPr>
          <w:noProof/>
        </w:rPr>
        <w:lastRenderedPageBreak/>
        <w:drawing>
          <wp:inline distT="0" distB="0" distL="0" distR="0">
            <wp:extent cx="5427939" cy="2321169"/>
            <wp:effectExtent l="19050" t="0" r="1311" b="0"/>
            <wp:docPr id="1" name="Picture 0" descr="image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fif"/>
                    <pic:cNvPicPr/>
                  </pic:nvPicPr>
                  <pic:blipFill>
                    <a:blip r:embed="rId5"/>
                    <a:srcRect t="7484"/>
                    <a:stretch>
                      <a:fillRect/>
                    </a:stretch>
                  </pic:blipFill>
                  <pic:spPr>
                    <a:xfrm>
                      <a:off x="0" y="0"/>
                      <a:ext cx="5430910" cy="2322440"/>
                    </a:xfrm>
                    <a:prstGeom prst="rect">
                      <a:avLst/>
                    </a:prstGeom>
                  </pic:spPr>
                </pic:pic>
              </a:graphicData>
            </a:graphic>
          </wp:inline>
        </w:drawing>
      </w:r>
    </w:p>
    <w:p w:rsidR="00593125" w:rsidRDefault="00593125" w:rsidP="00593125">
      <w:pPr>
        <w:pStyle w:val="NormalWeb"/>
        <w:spacing w:line="276" w:lineRule="auto"/>
        <w:jc w:val="both"/>
        <w:rPr>
          <w:b/>
          <w:sz w:val="28"/>
          <w:szCs w:val="28"/>
        </w:rPr>
      </w:pPr>
      <w:r>
        <w:rPr>
          <w:b/>
          <w:sz w:val="28"/>
          <w:szCs w:val="28"/>
        </w:rPr>
        <w:t>CAUSALITY ASSESSMENT:</w:t>
      </w:r>
    </w:p>
    <w:p w:rsidR="00593125" w:rsidRPr="00593125" w:rsidRDefault="00593125" w:rsidP="00593125">
      <w:pPr>
        <w:pStyle w:val="NormalWeb"/>
        <w:spacing w:line="276" w:lineRule="auto"/>
        <w:jc w:val="both"/>
      </w:pPr>
      <w:r>
        <w:t>NARANJO ALGORITHM</w:t>
      </w:r>
    </w:p>
    <w:p w:rsidR="00FE1240" w:rsidRDefault="00593125" w:rsidP="00593125">
      <w:pPr>
        <w:jc w:val="center"/>
        <w:rPr>
          <w:rFonts w:ascii="Times New Roman" w:hAnsi="Times New Roman" w:cs="Times New Roman"/>
          <w:sz w:val="24"/>
          <w:szCs w:val="24"/>
        </w:rPr>
      </w:pPr>
      <w:r w:rsidRPr="00593125">
        <w:rPr>
          <w:rFonts w:ascii="Times New Roman" w:hAnsi="Times New Roman" w:cs="Times New Roman"/>
          <w:sz w:val="24"/>
          <w:szCs w:val="24"/>
        </w:rPr>
        <w:drawing>
          <wp:inline distT="0" distB="0" distL="0" distR="0">
            <wp:extent cx="5205935" cy="2834640"/>
            <wp:effectExtent l="19050" t="0" r="0" b="0"/>
            <wp:docPr id="6" name="Picture 6" descr="Causality Assessment in Pharmacovigilance: Naranjo Scale OR WHO-UM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usality Assessment in Pharmacovigilance: Naranjo Scale OR WHO-UMC Method?"/>
                    <pic:cNvPicPr>
                      <a:picLocks noChangeAspect="1" noChangeArrowheads="1"/>
                    </pic:cNvPicPr>
                  </pic:nvPicPr>
                  <pic:blipFill>
                    <a:blip r:embed="rId6"/>
                    <a:srcRect/>
                    <a:stretch>
                      <a:fillRect/>
                    </a:stretch>
                  </pic:blipFill>
                  <pic:spPr bwMode="auto">
                    <a:xfrm>
                      <a:off x="0" y="0"/>
                      <a:ext cx="5205935" cy="2834640"/>
                    </a:xfrm>
                    <a:prstGeom prst="rect">
                      <a:avLst/>
                    </a:prstGeom>
                    <a:noFill/>
                    <a:ln w="9525">
                      <a:noFill/>
                      <a:miter lim="800000"/>
                      <a:headEnd/>
                      <a:tailEnd/>
                    </a:ln>
                  </pic:spPr>
                </pic:pic>
              </a:graphicData>
            </a:graphic>
          </wp:inline>
        </w:drawing>
      </w:r>
    </w:p>
    <w:p w:rsidR="00593125" w:rsidRPr="00593125" w:rsidRDefault="00593125" w:rsidP="00593125">
      <w:pPr>
        <w:spacing w:after="0" w:line="240" w:lineRule="auto"/>
        <w:rPr>
          <w:rFonts w:ascii="Times New Roman" w:eastAsia="Times New Roman" w:hAnsi="Times New Roman" w:cs="Times New Roman"/>
          <w:sz w:val="24"/>
          <w:szCs w:val="24"/>
        </w:rPr>
      </w:pPr>
      <w:r w:rsidRPr="00904F8D">
        <w:rPr>
          <w:rFonts w:ascii="Times New Roman" w:eastAsia="Times New Roman" w:hAnsi="Times New Roman" w:cs="Times New Roman"/>
          <w:b/>
          <w:bCs/>
          <w:sz w:val="24"/>
          <w:szCs w:val="24"/>
        </w:rPr>
        <w:t>Total Score Interpretation</w:t>
      </w:r>
      <w:r w:rsidRPr="009F03B0">
        <w:rPr>
          <w:rFonts w:ascii="Times New Roman" w:eastAsia="Times New Roman" w:hAnsi="Times New Roman" w:cs="Times New Roman"/>
          <w:bCs/>
          <w:sz w:val="24"/>
          <w:szCs w:val="24"/>
        </w:rPr>
        <w:t>:</w:t>
      </w:r>
    </w:p>
    <w:p w:rsidR="00593125" w:rsidRPr="00593125" w:rsidRDefault="00593125" w:rsidP="00593125">
      <w:pPr>
        <w:numPr>
          <w:ilvl w:val="0"/>
          <w:numId w:val="2"/>
        </w:numPr>
        <w:spacing w:after="0" w:line="240" w:lineRule="auto"/>
        <w:ind w:left="0"/>
        <w:rPr>
          <w:rFonts w:ascii="Times New Roman" w:eastAsia="Times New Roman" w:hAnsi="Times New Roman" w:cs="Times New Roman"/>
          <w:sz w:val="24"/>
          <w:szCs w:val="24"/>
        </w:rPr>
      </w:pPr>
      <w:r w:rsidRPr="009F03B0">
        <w:rPr>
          <w:rFonts w:ascii="Times New Roman" w:eastAsia="Times New Roman" w:hAnsi="Times New Roman" w:cs="Times New Roman"/>
          <w:bCs/>
          <w:sz w:val="24"/>
          <w:szCs w:val="24"/>
        </w:rPr>
        <w:t>Definite:</w:t>
      </w:r>
      <w:r w:rsidRPr="009F03B0">
        <w:rPr>
          <w:rFonts w:ascii="Times New Roman" w:eastAsia="Times New Roman" w:hAnsi="Times New Roman" w:cs="Times New Roman"/>
          <w:sz w:val="24"/>
          <w:szCs w:val="24"/>
        </w:rPr>
        <w:t xml:space="preserve"> 9 points or higher</w:t>
      </w:r>
    </w:p>
    <w:p w:rsidR="00593125" w:rsidRPr="00593125" w:rsidRDefault="00593125" w:rsidP="00593125">
      <w:pPr>
        <w:numPr>
          <w:ilvl w:val="0"/>
          <w:numId w:val="2"/>
        </w:numPr>
        <w:spacing w:after="0" w:line="240" w:lineRule="auto"/>
        <w:ind w:left="0"/>
        <w:rPr>
          <w:rFonts w:ascii="Times New Roman" w:eastAsia="Times New Roman" w:hAnsi="Times New Roman" w:cs="Times New Roman"/>
          <w:sz w:val="24"/>
          <w:szCs w:val="24"/>
        </w:rPr>
      </w:pPr>
      <w:r w:rsidRPr="009F03B0">
        <w:rPr>
          <w:rFonts w:ascii="Times New Roman" w:eastAsia="Times New Roman" w:hAnsi="Times New Roman" w:cs="Times New Roman"/>
          <w:bCs/>
          <w:sz w:val="24"/>
          <w:szCs w:val="24"/>
        </w:rPr>
        <w:t>Probable:</w:t>
      </w:r>
      <w:r w:rsidRPr="009F03B0">
        <w:rPr>
          <w:rFonts w:ascii="Times New Roman" w:eastAsia="Times New Roman" w:hAnsi="Times New Roman" w:cs="Times New Roman"/>
          <w:sz w:val="24"/>
          <w:szCs w:val="24"/>
        </w:rPr>
        <w:t xml:space="preserve"> 5 to 8 points</w:t>
      </w:r>
    </w:p>
    <w:p w:rsidR="00593125" w:rsidRPr="00593125" w:rsidRDefault="00593125" w:rsidP="00593125">
      <w:pPr>
        <w:numPr>
          <w:ilvl w:val="0"/>
          <w:numId w:val="2"/>
        </w:numPr>
        <w:spacing w:after="0" w:line="240" w:lineRule="auto"/>
        <w:ind w:left="0"/>
        <w:rPr>
          <w:rFonts w:ascii="Times New Roman" w:eastAsia="Times New Roman" w:hAnsi="Times New Roman" w:cs="Times New Roman"/>
          <w:sz w:val="24"/>
          <w:szCs w:val="24"/>
        </w:rPr>
      </w:pPr>
      <w:r w:rsidRPr="009F03B0">
        <w:rPr>
          <w:rFonts w:ascii="Times New Roman" w:eastAsia="Times New Roman" w:hAnsi="Times New Roman" w:cs="Times New Roman"/>
          <w:bCs/>
          <w:sz w:val="24"/>
          <w:szCs w:val="24"/>
        </w:rPr>
        <w:t>Possible:</w:t>
      </w:r>
      <w:r w:rsidRPr="009F03B0">
        <w:rPr>
          <w:rFonts w:ascii="Times New Roman" w:eastAsia="Times New Roman" w:hAnsi="Times New Roman" w:cs="Times New Roman"/>
          <w:sz w:val="24"/>
          <w:szCs w:val="24"/>
        </w:rPr>
        <w:t xml:space="preserve"> 1 to 4 points</w:t>
      </w:r>
    </w:p>
    <w:p w:rsidR="00593125" w:rsidRDefault="00593125" w:rsidP="00593125">
      <w:pPr>
        <w:numPr>
          <w:ilvl w:val="0"/>
          <w:numId w:val="2"/>
        </w:numPr>
        <w:spacing w:after="0" w:line="240" w:lineRule="auto"/>
        <w:ind w:left="0"/>
        <w:rPr>
          <w:rFonts w:ascii="Times New Roman" w:eastAsia="Times New Roman" w:hAnsi="Times New Roman" w:cs="Times New Roman"/>
          <w:sz w:val="24"/>
          <w:szCs w:val="24"/>
        </w:rPr>
      </w:pPr>
      <w:r w:rsidRPr="009F03B0">
        <w:rPr>
          <w:rFonts w:ascii="Times New Roman" w:eastAsia="Times New Roman" w:hAnsi="Times New Roman" w:cs="Times New Roman"/>
          <w:bCs/>
          <w:sz w:val="24"/>
          <w:szCs w:val="24"/>
        </w:rPr>
        <w:t>Doubtful:</w:t>
      </w:r>
      <w:r w:rsidRPr="009F03B0">
        <w:rPr>
          <w:rFonts w:ascii="Times New Roman" w:eastAsia="Times New Roman" w:hAnsi="Times New Roman" w:cs="Times New Roman"/>
          <w:sz w:val="24"/>
          <w:szCs w:val="24"/>
        </w:rPr>
        <w:t xml:space="preserve"> 0 points or less</w:t>
      </w:r>
    </w:p>
    <w:p w:rsidR="009F03B0" w:rsidRDefault="009F03B0" w:rsidP="009F03B0">
      <w:pPr>
        <w:spacing w:after="0" w:line="240" w:lineRule="auto"/>
        <w:rPr>
          <w:rFonts w:ascii="Times New Roman" w:eastAsia="Times New Roman" w:hAnsi="Times New Roman" w:cs="Times New Roman"/>
          <w:sz w:val="24"/>
          <w:szCs w:val="24"/>
        </w:rPr>
      </w:pPr>
    </w:p>
    <w:p w:rsidR="00904F8D" w:rsidRDefault="00904F8D" w:rsidP="009F03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Calculation: 1 + 2 + 1 + 0 + 2 + 0 + 0 + 0 + 0 + 1 = 7</w:t>
      </w:r>
    </w:p>
    <w:p w:rsidR="00904F8D" w:rsidRDefault="00904F8D" w:rsidP="009F03B0">
      <w:pPr>
        <w:spacing w:after="0" w:line="240" w:lineRule="auto"/>
        <w:rPr>
          <w:rFonts w:ascii="Times New Roman" w:eastAsia="Times New Roman" w:hAnsi="Times New Roman" w:cs="Times New Roman"/>
          <w:sz w:val="24"/>
          <w:szCs w:val="24"/>
        </w:rPr>
      </w:pPr>
    </w:p>
    <w:p w:rsidR="00593125" w:rsidRPr="00904F8D" w:rsidRDefault="00904F8D" w:rsidP="00904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Causality –  Probable.</w:t>
      </w:r>
    </w:p>
    <w:sectPr w:rsidR="00593125" w:rsidRPr="00904F8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664C2B"/>
    <w:multiLevelType w:val="hybridMultilevel"/>
    <w:tmpl w:val="89143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F622856"/>
    <w:multiLevelType w:val="multilevel"/>
    <w:tmpl w:val="3F30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useFELayout/>
  </w:compat>
  <w:rsids>
    <w:rsidRoot w:val="00601C06"/>
    <w:rsid w:val="00593125"/>
    <w:rsid w:val="005E0014"/>
    <w:rsid w:val="00601C06"/>
    <w:rsid w:val="00781E62"/>
    <w:rsid w:val="00904F8D"/>
    <w:rsid w:val="009B69FF"/>
    <w:rsid w:val="009F03B0"/>
    <w:rsid w:val="00AF78BF"/>
    <w:rsid w:val="00E321F5"/>
    <w:rsid w:val="00E43BC8"/>
    <w:rsid w:val="00FE12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B69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E0014"/>
    <w:rPr>
      <w:b/>
      <w:bCs/>
    </w:rPr>
  </w:style>
  <w:style w:type="character" w:customStyle="1" w:styleId="Heading2Char">
    <w:name w:val="Heading 2 Char"/>
    <w:basedOn w:val="DefaultParagraphFont"/>
    <w:link w:val="Heading2"/>
    <w:uiPriority w:val="9"/>
    <w:rsid w:val="009B69FF"/>
    <w:rPr>
      <w:rFonts w:ascii="Times New Roman" w:eastAsia="Times New Roman" w:hAnsi="Times New Roman" w:cs="Times New Roman"/>
      <w:b/>
      <w:bCs/>
      <w:sz w:val="36"/>
      <w:szCs w:val="36"/>
    </w:rPr>
  </w:style>
  <w:style w:type="paragraph" w:styleId="ListParagraph">
    <w:name w:val="List Paragraph"/>
    <w:basedOn w:val="Normal"/>
    <w:uiPriority w:val="34"/>
    <w:qFormat/>
    <w:rsid w:val="009B69FF"/>
    <w:pPr>
      <w:ind w:left="720"/>
      <w:contextualSpacing/>
    </w:pPr>
  </w:style>
  <w:style w:type="paragraph" w:customStyle="1" w:styleId="pdq2pgselectionanchorcontainer">
    <w:name w:val="pdq2pg_selectionanchorcontainer"/>
    <w:basedOn w:val="Normal"/>
    <w:rsid w:val="00FE124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E124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931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3125"/>
    <w:rPr>
      <w:rFonts w:ascii="Tahoma" w:hAnsi="Tahoma" w:cs="Tahoma"/>
      <w:sz w:val="16"/>
      <w:szCs w:val="16"/>
    </w:rPr>
  </w:style>
  <w:style w:type="character" w:customStyle="1" w:styleId="inqyif">
    <w:name w:val="inqyif"/>
    <w:basedOn w:val="DefaultParagraphFont"/>
    <w:rsid w:val="00593125"/>
  </w:style>
</w:styles>
</file>

<file path=word/webSettings.xml><?xml version="1.0" encoding="utf-8"?>
<w:webSettings xmlns:r="http://schemas.openxmlformats.org/officeDocument/2006/relationships" xmlns:w="http://schemas.openxmlformats.org/wordprocessingml/2006/main">
  <w:divs>
    <w:div w:id="388847265">
      <w:bodyDiv w:val="1"/>
      <w:marLeft w:val="0"/>
      <w:marRight w:val="0"/>
      <w:marTop w:val="0"/>
      <w:marBottom w:val="0"/>
      <w:divBdr>
        <w:top w:val="none" w:sz="0" w:space="0" w:color="auto"/>
        <w:left w:val="none" w:sz="0" w:space="0" w:color="auto"/>
        <w:bottom w:val="none" w:sz="0" w:space="0" w:color="auto"/>
        <w:right w:val="none" w:sz="0" w:space="0" w:color="auto"/>
      </w:divBdr>
    </w:div>
    <w:div w:id="571891571">
      <w:bodyDiv w:val="1"/>
      <w:marLeft w:val="0"/>
      <w:marRight w:val="0"/>
      <w:marTop w:val="0"/>
      <w:marBottom w:val="0"/>
      <w:divBdr>
        <w:top w:val="none" w:sz="0" w:space="0" w:color="auto"/>
        <w:left w:val="none" w:sz="0" w:space="0" w:color="auto"/>
        <w:bottom w:val="none" w:sz="0" w:space="0" w:color="auto"/>
        <w:right w:val="none" w:sz="0" w:space="0" w:color="auto"/>
      </w:divBdr>
    </w:div>
    <w:div w:id="873808748">
      <w:bodyDiv w:val="1"/>
      <w:marLeft w:val="0"/>
      <w:marRight w:val="0"/>
      <w:marTop w:val="0"/>
      <w:marBottom w:val="0"/>
      <w:divBdr>
        <w:top w:val="none" w:sz="0" w:space="0" w:color="auto"/>
        <w:left w:val="none" w:sz="0" w:space="0" w:color="auto"/>
        <w:bottom w:val="none" w:sz="0" w:space="0" w:color="auto"/>
        <w:right w:val="none" w:sz="0" w:space="0" w:color="auto"/>
      </w:divBdr>
      <w:divsChild>
        <w:div w:id="2112892626">
          <w:marLeft w:val="0"/>
          <w:marRight w:val="0"/>
          <w:marTop w:val="0"/>
          <w:marBottom w:val="0"/>
          <w:divBdr>
            <w:top w:val="none" w:sz="0" w:space="0" w:color="auto"/>
            <w:left w:val="none" w:sz="0" w:space="0" w:color="auto"/>
            <w:bottom w:val="none" w:sz="0" w:space="0" w:color="auto"/>
            <w:right w:val="none" w:sz="0" w:space="0" w:color="auto"/>
          </w:divBdr>
          <w:divsChild>
            <w:div w:id="452595790">
              <w:marLeft w:val="0"/>
              <w:marRight w:val="0"/>
              <w:marTop w:val="0"/>
              <w:marBottom w:val="0"/>
              <w:divBdr>
                <w:top w:val="none" w:sz="0" w:space="0" w:color="auto"/>
                <w:left w:val="none" w:sz="0" w:space="0" w:color="auto"/>
                <w:bottom w:val="none" w:sz="0" w:space="0" w:color="auto"/>
                <w:right w:val="none" w:sz="0" w:space="0" w:color="auto"/>
              </w:divBdr>
              <w:divsChild>
                <w:div w:id="1682975634">
                  <w:marLeft w:val="0"/>
                  <w:marRight w:val="0"/>
                  <w:marTop w:val="0"/>
                  <w:marBottom w:val="0"/>
                  <w:divBdr>
                    <w:top w:val="none" w:sz="0" w:space="0" w:color="auto"/>
                    <w:left w:val="none" w:sz="0" w:space="0" w:color="auto"/>
                    <w:bottom w:val="none" w:sz="0" w:space="0" w:color="auto"/>
                    <w:right w:val="none" w:sz="0" w:space="0" w:color="auto"/>
                  </w:divBdr>
                  <w:divsChild>
                    <w:div w:id="198885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2179">
      <w:bodyDiv w:val="1"/>
      <w:marLeft w:val="0"/>
      <w:marRight w:val="0"/>
      <w:marTop w:val="0"/>
      <w:marBottom w:val="0"/>
      <w:divBdr>
        <w:top w:val="none" w:sz="0" w:space="0" w:color="auto"/>
        <w:left w:val="none" w:sz="0" w:space="0" w:color="auto"/>
        <w:bottom w:val="none" w:sz="0" w:space="0" w:color="auto"/>
        <w:right w:val="none" w:sz="0" w:space="0" w:color="auto"/>
      </w:divBdr>
      <w:divsChild>
        <w:div w:id="1088112022">
          <w:marLeft w:val="0"/>
          <w:marRight w:val="0"/>
          <w:marTop w:val="0"/>
          <w:marBottom w:val="0"/>
          <w:divBdr>
            <w:top w:val="none" w:sz="0" w:space="0" w:color="auto"/>
            <w:left w:val="none" w:sz="0" w:space="0" w:color="auto"/>
            <w:bottom w:val="none" w:sz="0" w:space="0" w:color="auto"/>
            <w:right w:val="none" w:sz="0" w:space="0" w:color="auto"/>
          </w:divBdr>
        </w:div>
      </w:divsChild>
    </w:div>
    <w:div w:id="1528299629">
      <w:bodyDiv w:val="1"/>
      <w:marLeft w:val="0"/>
      <w:marRight w:val="0"/>
      <w:marTop w:val="0"/>
      <w:marBottom w:val="0"/>
      <w:divBdr>
        <w:top w:val="none" w:sz="0" w:space="0" w:color="auto"/>
        <w:left w:val="none" w:sz="0" w:space="0" w:color="auto"/>
        <w:bottom w:val="none" w:sz="0" w:space="0" w:color="auto"/>
        <w:right w:val="none" w:sz="0" w:space="0" w:color="auto"/>
      </w:divBdr>
    </w:div>
    <w:div w:id="202482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378</TotalTime>
  <Pages>1</Pages>
  <Words>934</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2026-08-19T12:21:00Z</dcterms:created>
  <dcterms:modified xsi:type="dcterms:W3CDTF">2026-08-19T18:40:00Z</dcterms:modified>
</cp:coreProperties>
</file>