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center"/>
      </w:pPr>
      <w:r>
        <w:rPr>
          <w:rFonts w:ascii="Arial" w:hAnsi="Arial"/>
          <w:b/>
          <w:color w:val="0284C7"/>
          <w:sz w:val="64"/>
        </w:rPr>
        <w:t>AEGISPAY</w:t>
      </w:r>
    </w:p>
    <w:p>
      <w:pPr>
        <w:spacing w:before="0" w:after="360"/>
        <w:jc w:val="center"/>
      </w:pPr>
      <w:r>
        <w:rPr>
          <w:b/>
          <w:color w:val="334155"/>
          <w:sz w:val="32"/>
        </w:rPr>
        <w:t>AI Defense Lab for Payment Security</w:t>
        <w:br/>
        <w:t>Comprehensive Technical Specification &amp; Research Report</w:t>
      </w:r>
    </w:p>
    <w:p>
      <w:pPr>
        <w:spacing w:after="480"/>
        <w:jc w:val="center"/>
      </w:pPr>
      <w:r>
        <w:rPr>
          <w:b/>
          <w:i/>
          <w:color w:val="059669"/>
          <w:sz w:val="24"/>
        </w:rPr>
        <w:t>Mastercard Innovation Challenge @ Global Fintech Fest (GFF) 2026</w:t>
        <w:br/>
        <w:t>Targeting the ₹2.56 Lakh First Prize</w:t>
      </w:r>
    </w:p>
    <w:tbl>
      <w:tblPr>
        <w:tblW w:type="auto" w:w="0"/>
        <w:jc w:val="center"/>
        <w:tblLook w:firstColumn="1" w:firstRow="1" w:lastColumn="0" w:lastRow="0" w:noHBand="0" w:noVBand="1" w:val="04A0"/>
      </w:tblPr>
      <w:tblGrid>
        <w:gridCol w:w="4680"/>
        <w:gridCol w:w="4680"/>
      </w:tblGrid>
      <w:tr>
        <w:tc>
          <w:tcPr>
            <w:tcW w:type="dxa" w:w="3168"/>
            <w:shd w:val="clear" w:color="auto" w:fill="F1F5F9"/>
          </w:tcPr>
          <w:p>
            <w:r>
              <w:rPr>
                <w:b/>
              </w:rPr>
              <w:t>Author / Lead Researcher:</w:t>
            </w:r>
          </w:p>
        </w:tc>
        <w:tc>
          <w:tcPr>
            <w:tcW w:type="dxa" w:w="6192"/>
            <w:shd w:val="clear" w:color="auto" w:fill="F8FAFC"/>
          </w:tcPr>
          <w:p>
            <w:r>
              <w:t>Bhalaksh Vairagkar (AegisPay Research Team)</w:t>
            </w:r>
          </w:p>
        </w:tc>
      </w:tr>
      <w:tr>
        <w:tc>
          <w:tcPr>
            <w:tcW w:type="dxa" w:w="3168"/>
            <w:shd w:val="clear" w:color="auto" w:fill="F1F5F9"/>
          </w:tcPr>
          <w:p>
            <w:r>
              <w:rPr>
                <w:b/>
              </w:rPr>
              <w:t>Repository URL:</w:t>
            </w:r>
          </w:p>
        </w:tc>
        <w:tc>
          <w:tcPr>
            <w:tcW w:type="dxa" w:w="6192"/>
            <w:shd w:val="clear" w:color="auto" w:fill="F8FAFC"/>
          </w:tcPr>
          <w:p>
            <w:r>
              <w:t>https://github.com/bhalakshvairagkar-sudo/AegisPay</w:t>
            </w:r>
          </w:p>
        </w:tc>
      </w:tr>
      <w:tr>
        <w:tc>
          <w:tcPr>
            <w:tcW w:type="dxa" w:w="3168"/>
            <w:shd w:val="clear" w:color="auto" w:fill="F1F5F9"/>
          </w:tcPr>
          <w:p>
            <w:r>
              <w:rPr>
                <w:b/>
              </w:rPr>
              <w:t>System Version:</w:t>
            </w:r>
          </w:p>
        </w:tc>
        <w:tc>
          <w:tcPr>
            <w:tcW w:type="dxa" w:w="6192"/>
            <w:shd w:val="clear" w:color="auto" w:fill="F8FAFC"/>
          </w:tcPr>
          <w:p>
            <w:r>
              <w:t>v2026.1.0 (Production / Research Benchmark)</w:t>
            </w:r>
          </w:p>
        </w:tc>
      </w:tr>
      <w:tr>
        <w:tc>
          <w:tcPr>
            <w:tcW w:type="dxa" w:w="3168"/>
            <w:shd w:val="clear" w:color="auto" w:fill="F1F5F9"/>
          </w:tcPr>
          <w:p>
            <w:r>
              <w:rPr>
                <w:b/>
              </w:rPr>
              <w:t>License:</w:t>
            </w:r>
          </w:p>
        </w:tc>
        <w:tc>
          <w:tcPr>
            <w:tcW w:type="dxa" w:w="6192"/>
            <w:shd w:val="clear" w:color="auto" w:fill="F8FAFC"/>
          </w:tcPr>
          <w:p>
            <w:r>
              <w:t>MIT Open Source License</w:t>
            </w:r>
          </w:p>
        </w:tc>
      </w:tr>
    </w:tbl>
    <w:p>
      <w:r>
        <w:br w:type="page"/>
      </w:r>
    </w:p>
    <w:p>
      <w:pPr>
        <w:pStyle w:val="Heading1"/>
      </w:pPr>
      <w:r>
        <w:rPr>
          <w:color w:val="0F172A"/>
        </w:rPr>
        <w:t>1. Executive Summary &amp; Problem Statement</w:t>
      </w:r>
    </w:p>
    <w:p>
      <w:r>
        <w:t>Modern payment ecosystems face an unprecedented surge in sophisticated, automated fraud driven by Generative AI (LLMs, generative voice cloning, synthetic touch cadence GANs, and automated proxy networks). Traditional fraud detection systems rely either on static rule-based engines or static machine learning models trained on historical fraud logs. These legacy architectures suffer from three critical structural flaws:</w:t>
      </w:r>
    </w:p>
    <w:p>
      <w:r>
        <w:rPr>
          <w:b/>
        </w:rPr>
        <w:t xml:space="preserve">1. Blind to Novel Attack Vectors: </w:t>
      </w:r>
      <w:r>
        <w:t>Standard supervised classifiers collapse on out-of-distribution attack mutations (achieving 0.0% detection on whitebox gradient perturbations).</w:t>
        <w:br/>
      </w:r>
      <w:r>
        <w:rPr>
          <w:b/>
        </w:rPr>
        <w:t xml:space="preserve">2. Open-Loop Latency: </w:t>
      </w:r>
      <w:r>
        <w:t>When new fraud patterns evade defenses, manual review, feature engineering, and retraining cycles take weeks or months.</w:t>
        <w:br/>
      </w:r>
      <w:r>
        <w:rPr>
          <w:b/>
        </w:rPr>
        <w:t xml:space="preserve">3. Data Leakage &amp; Synthetic Artifacts: </w:t>
      </w:r>
      <w:r>
        <w:t>Many existing prototypes exhibit synthetic data leakage, artificially inflating benchmark metrics without solving true payment defense challenges.</w:t>
      </w:r>
    </w:p>
    <w:p>
      <w:r>
        <w:t>AegisPay solves this by introducing an autonomous, closed-loop AI defense laboratory that connects adversarial Red Team attack generation, statistical payment simulation, hybrid Blue Team detection, K-Means evasion clustering, targeted counter-sample synthesis, sample-weighted adversarial retraining, and zero-shot holdout validation.</w:t>
      </w:r>
    </w:p>
    <w:p>
      <w:pPr>
        <w:pStyle w:val="Heading1"/>
      </w:pPr>
      <w:r>
        <w:t>2. Autonomous Closed-Loop Architecture</w:t>
      </w:r>
    </w:p>
    <w:p>
      <w:r>
        <w:t>AegisPay implements a strict 10-step continuous feedback loop connecting adversarial offense and automated defense:</w:t>
      </w:r>
    </w:p>
    <w:tbl>
      <w:tblPr>
        <w:tblW w:type="auto" w:w="0"/>
        <w:jc w:val="center"/>
        <w:tblLook w:firstColumn="1" w:firstRow="1" w:lastColumn="0" w:lastRow="0" w:noHBand="0" w:noVBand="1" w:val="04A0"/>
      </w:tblPr>
      <w:tblGrid>
        <w:gridCol w:w="4680"/>
        <w:gridCol w:w="4680"/>
      </w:tblGrid>
      <w:tr>
        <w:tc>
          <w:tcPr>
            <w:tcW w:type="dxa" w:w="4680"/>
            <w:shd w:val="clear" w:color="auto" w:fill="0284C7"/>
          </w:tcPr>
          <w:p>
            <w:r>
              <w:rPr>
                <w:b/>
                <w:color w:val="FFFFFF"/>
              </w:rPr>
              <w:t>Pipeline Stage</w:t>
            </w:r>
          </w:p>
        </w:tc>
        <w:tc>
          <w:tcPr>
            <w:tcW w:type="dxa" w:w="4680"/>
            <w:shd w:val="clear" w:color="auto" w:fill="0284C7"/>
          </w:tcPr>
          <w:p>
            <w:r>
              <w:rPr>
                <w:b/>
                <w:color w:val="FFFFFF"/>
              </w:rPr>
              <w:t>Function &amp; Methodology</w:t>
            </w:r>
          </w:p>
        </w:tc>
      </w:tr>
      <w:tr>
        <w:tc>
          <w:tcPr>
            <w:tcW w:type="dxa" w:w="3312"/>
          </w:tcPr>
          <w:p>
            <w:r>
              <w:rPr>
                <w:b/>
              </w:rPr>
              <w:t>Step 1: Identify Attack Surface</w:t>
            </w:r>
          </w:p>
        </w:tc>
        <w:tc>
          <w:tcPr>
            <w:tcW w:type="dxa" w:w="6048"/>
          </w:tcPr>
          <w:p>
            <w:r>
              <w:t>Catalog 36 structured attack vectors across 8 major families, 100% mapped to GenAI risk profiles and MITRE ATLAS.</w:t>
            </w:r>
          </w:p>
        </w:tc>
      </w:tr>
      <w:tr>
        <w:tc>
          <w:tcPr>
            <w:tcW w:type="dxa" w:w="3312"/>
            <w:shd w:val="clear" w:color="auto" w:fill="F8FAFC"/>
          </w:tcPr>
          <w:p>
            <w:r>
              <w:rPr>
                <w:b/>
              </w:rPr>
              <w:t>Step 2: Synthesize Adversarial Attacks</w:t>
            </w:r>
          </w:p>
        </w:tc>
        <w:tc>
          <w:tcPr>
            <w:tcW w:type="dxa" w:w="6048"/>
            <w:shd w:val="clear" w:color="auto" w:fill="F8FAFC"/>
          </w:tcPr>
          <w:p>
            <w:r>
              <w:t>Parametric Red Team generator mutates clean payment streams across 5 progressive difficulty levels.</w:t>
            </w:r>
          </w:p>
        </w:tc>
      </w:tr>
      <w:tr>
        <w:tc>
          <w:tcPr>
            <w:tcW w:type="dxa" w:w="3312"/>
          </w:tcPr>
          <w:p>
            <w:r>
              <w:rPr>
                <w:b/>
              </w:rPr>
              <w:t>Step 3: Simulate Realistic Payment Stream</w:t>
            </w:r>
          </w:p>
        </w:tc>
        <w:tc>
          <w:tcPr>
            <w:tcW w:type="dxa" w:w="6048"/>
          </w:tcPr>
          <w:p>
            <w:r>
              <w:t>Multi-modal simulator generates cardholders, 12 MCC merchant categories, and device hardware telemetry.</w:t>
            </w:r>
          </w:p>
        </w:tc>
      </w:tr>
      <w:tr>
        <w:tc>
          <w:tcPr>
            <w:tcW w:type="dxa" w:w="3312"/>
            <w:shd w:val="clear" w:color="auto" w:fill="F8FAFC"/>
          </w:tcPr>
          <w:p>
            <w:r>
              <w:rPr>
                <w:b/>
              </w:rPr>
              <w:t>Step 4: Detect &amp; Score (Blue Team)</w:t>
            </w:r>
          </w:p>
        </w:tc>
        <w:tc>
          <w:tcPr>
            <w:tcW w:type="dxa" w:w="6048"/>
            <w:shd w:val="clear" w:color="auto" w:fill="F8FAFC"/>
          </w:tcPr>
          <w:p>
            <w:r>
              <w:t>Ensemble combining XGBoost (supervised), Isolation Forest (unsupervised anomaly), and Unified Risk Policy scoring.</w:t>
            </w:r>
          </w:p>
        </w:tc>
      </w:tr>
      <w:tr>
        <w:tc>
          <w:tcPr>
            <w:tcW w:type="dxa" w:w="3312"/>
          </w:tcPr>
          <w:p>
            <w:r>
              <w:rPr>
                <w:b/>
              </w:rPr>
              <w:t>Step 5: Isolate False Negatives</w:t>
            </w:r>
          </w:p>
        </w:tc>
        <w:tc>
          <w:tcPr>
            <w:tcW w:type="dxa" w:w="6048"/>
          </w:tcPr>
          <w:p>
            <w:r>
              <w:t>Extracts undetected fraud instances (y=1, y_hat=0) into an evasion dataset.</w:t>
            </w:r>
          </w:p>
        </w:tc>
      </w:tr>
      <w:tr>
        <w:tc>
          <w:tcPr>
            <w:tcW w:type="dxa" w:w="3312"/>
            <w:shd w:val="clear" w:color="auto" w:fill="F8FAFC"/>
          </w:tcPr>
          <w:p>
            <w:r>
              <w:rPr>
                <w:b/>
              </w:rPr>
              <w:t>Step 6: Cluster Missed Evasions</w:t>
            </w:r>
          </w:p>
        </w:tc>
        <w:tc>
          <w:tcPr>
            <w:tcW w:type="dxa" w:w="6048"/>
            <w:shd w:val="clear" w:color="auto" w:fill="F8FAFC"/>
          </w:tcPr>
          <w:p>
            <w:r>
              <w:t>K-Means and DBSCAN clustering group evasions into behavioral centroids to isolate weak feature dimensions.</w:t>
            </w:r>
          </w:p>
        </w:tc>
      </w:tr>
      <w:tr>
        <w:tc>
          <w:tcPr>
            <w:tcW w:type="dxa" w:w="3312"/>
          </w:tcPr>
          <w:p>
            <w:r>
              <w:rPr>
                <w:b/>
              </w:rPr>
              <w:t>Step 7: Synthesize Targeted Counterexamples</w:t>
            </w:r>
          </w:p>
        </w:tc>
        <w:tc>
          <w:tcPr>
            <w:tcW w:type="dxa" w:w="6048"/>
          </w:tcPr>
          <w:p>
            <w:r>
              <w:t>Generates synthetic boundary counter-samples focused specifically on vulnerable cluster centroids.</w:t>
            </w:r>
          </w:p>
        </w:tc>
      </w:tr>
      <w:tr>
        <w:tc>
          <w:tcPr>
            <w:tcW w:type="dxa" w:w="3312"/>
            <w:shd w:val="clear" w:color="auto" w:fill="F8FAFC"/>
          </w:tcPr>
          <w:p>
            <w:r>
              <w:rPr>
                <w:b/>
              </w:rPr>
              <w:t>Step 8: Sample-Weighted Retraining</w:t>
            </w:r>
          </w:p>
        </w:tc>
        <w:tc>
          <w:tcPr>
            <w:tcW w:type="dxa" w:w="6048"/>
            <w:shd w:val="clear" w:color="auto" w:fill="F8FAFC"/>
          </w:tcPr>
          <w:p>
            <w:r>
              <w:t>Retrains defense models with higher loss weighting on previously evaded manifolds.</w:t>
            </w:r>
          </w:p>
        </w:tc>
      </w:tr>
      <w:tr>
        <w:tc>
          <w:tcPr>
            <w:tcW w:type="dxa" w:w="3312"/>
          </w:tcPr>
          <w:p>
            <w:r>
              <w:rPr>
                <w:b/>
              </w:rPr>
              <w:t>Step 9: Multi-Round Re-Evaluation</w:t>
            </w:r>
          </w:p>
        </w:tc>
        <w:tc>
          <w:tcPr>
            <w:tcW w:type="dxa" w:w="6048"/>
          </w:tcPr>
          <w:p>
            <w:r>
              <w:t>Tracks evolutionary progression across sequential rounds (R1 -&gt; R2 -&gt; R3) without artificial monotonicity constraints.</w:t>
            </w:r>
          </w:p>
        </w:tc>
      </w:tr>
      <w:tr>
        <w:tc>
          <w:tcPr>
            <w:tcW w:type="dxa" w:w="3312"/>
            <w:shd w:val="clear" w:color="auto" w:fill="F8FAFC"/>
          </w:tcPr>
          <w:p>
            <w:r>
              <w:rPr>
                <w:b/>
              </w:rPr>
              <w:t>Step 10: Zero-Shot Holdout Generalization</w:t>
            </w:r>
          </w:p>
        </w:tc>
        <w:tc>
          <w:tcPr>
            <w:tcW w:type="dxa" w:w="6048"/>
            <w:shd w:val="clear" w:color="auto" w:fill="F8FAFC"/>
          </w:tcPr>
          <w:p>
            <w:r>
              <w:t>Validates hardened models against strictly isolated attack families (ADV-01 Model Inversion) never seen in training.</w:t>
            </w:r>
          </w:p>
        </w:tc>
      </w:tr>
    </w:tbl>
    <w:p>
      <w:pPr>
        <w:pStyle w:val="Heading1"/>
      </w:pPr>
      <w:r>
        <w:t>3. Attack Taxonomy &amp; Threat Intelligence Surface</w:t>
      </w:r>
    </w:p>
    <w:p>
      <w:r>
        <w:t>AegisPay defines 36 structured attack vectors categorized into 8 distinct threat families covering digital banking, Card-Not-Present (CNP) e-commerce, and real-time payment rails:</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E293B"/>
          </w:tcPr>
          <w:p>
            <w:r>
              <w:rPr>
                <w:b/>
                <w:color w:val="FFFFFF"/>
              </w:rPr>
              <w:t>Threat Family</w:t>
            </w:r>
          </w:p>
        </w:tc>
        <w:tc>
          <w:tcPr>
            <w:tcW w:type="dxa" w:w="3120"/>
            <w:shd w:val="clear" w:color="auto" w:fill="1E293B"/>
          </w:tcPr>
          <w:p>
            <w:r>
              <w:rPr>
                <w:b/>
                <w:color w:val="FFFFFF"/>
              </w:rPr>
              <w:t>Count</w:t>
            </w:r>
          </w:p>
        </w:tc>
        <w:tc>
          <w:tcPr>
            <w:tcW w:type="dxa" w:w="3120"/>
            <w:shd w:val="clear" w:color="auto" w:fill="1E293B"/>
          </w:tcPr>
          <w:p>
            <w:r>
              <w:rPr>
                <w:b/>
                <w:color w:val="FFFFFF"/>
              </w:rPr>
              <w:t>Attack Vectors &amp; Evasion Strategies</w:t>
            </w:r>
          </w:p>
        </w:tc>
      </w:tr>
      <w:tr>
        <w:tc>
          <w:tcPr>
            <w:tcW w:type="dxa" w:w="2592"/>
          </w:tcPr>
          <w:p>
            <w:r>
              <w:rPr>
                <w:b/>
              </w:rPr>
              <w:t>1. Account Takeover (ATO)</w:t>
            </w:r>
          </w:p>
        </w:tc>
        <w:tc>
          <w:tcPr>
            <w:tcW w:type="dxa" w:w="1152"/>
          </w:tcPr>
          <w:p>
            <w:r>
              <w:t>5 Vectors</w:t>
            </w:r>
          </w:p>
        </w:tc>
        <w:tc>
          <w:tcPr>
            <w:tcW w:type="dxa" w:w="5616"/>
          </w:tcPr>
          <w:p>
            <w:r>
              <w:t>ATO-01 to ATO-05: Credential stuffing with micro-delays, session token hijacking, cellular SIM swap, password cascades, and WebAuthn passkey downgrade fallback probes.</w:t>
            </w:r>
          </w:p>
        </w:tc>
      </w:tr>
      <w:tr>
        <w:tc>
          <w:tcPr>
            <w:tcW w:type="dxa" w:w="2592"/>
            <w:shd w:val="clear" w:color="auto" w:fill="F8FAFC"/>
          </w:tcPr>
          <w:p>
            <w:r>
              <w:rPr>
                <w:b/>
              </w:rPr>
              <w:t>2. Behavioral Impersonation (BIO)</w:t>
            </w:r>
          </w:p>
        </w:tc>
        <w:tc>
          <w:tcPr>
            <w:tcW w:type="dxa" w:w="1152"/>
            <w:shd w:val="clear" w:color="auto" w:fill="F8FAFC"/>
          </w:tcPr>
          <w:p>
            <w:r>
              <w:t>5 Vectors</w:t>
            </w:r>
          </w:p>
        </w:tc>
        <w:tc>
          <w:tcPr>
            <w:tcW w:type="dxa" w:w="5616"/>
            <w:shd w:val="clear" w:color="auto" w:fill="F8FAFC"/>
          </w:tcPr>
          <w:p>
            <w:r>
              <w:t>BIO-01 to BIO-05: GAN mouse/keystroke physics synthesis, checkout navigation replay, temporal purchase profiling, touch pressure mimicry, and dwell-time pacing.</w:t>
            </w:r>
          </w:p>
        </w:tc>
      </w:tr>
      <w:tr>
        <w:tc>
          <w:tcPr>
            <w:tcW w:type="dxa" w:w="2592"/>
          </w:tcPr>
          <w:p>
            <w:r>
              <w:rPr>
                <w:b/>
              </w:rPr>
              <w:t>3. Social Engineering &amp; APP</w:t>
            </w:r>
          </w:p>
        </w:tc>
        <w:tc>
          <w:tcPr>
            <w:tcW w:type="dxa" w:w="1152"/>
          </w:tcPr>
          <w:p>
            <w:r>
              <w:t>5 Vectors</w:t>
            </w:r>
          </w:p>
        </w:tc>
        <w:tc>
          <w:tcPr>
            <w:tcW w:type="dxa" w:w="5616"/>
          </w:tcPr>
          <w:p>
            <w:r>
              <w:t>SOC-01 to SOC-05: Manipulated Authorized Push Payments (APP), contextual subscription mandate injection, remote-desktop liquidation, multi-agent bot networks, and executive voice cloning.</w:t>
            </w:r>
          </w:p>
        </w:tc>
      </w:tr>
      <w:tr>
        <w:tc>
          <w:tcPr>
            <w:tcW w:type="dxa" w:w="2592"/>
            <w:shd w:val="clear" w:color="auto" w:fill="F8FAFC"/>
          </w:tcPr>
          <w:p>
            <w:r>
              <w:rPr>
                <w:b/>
              </w:rPr>
              <w:t>4. Transaction Manipulation (TXN)</w:t>
            </w:r>
          </w:p>
        </w:tc>
        <w:tc>
          <w:tcPr>
            <w:tcW w:type="dxa" w:w="1152"/>
            <w:shd w:val="clear" w:color="auto" w:fill="F8FAFC"/>
          </w:tcPr>
          <w:p>
            <w:r>
              <w:t>5 Vectors</w:t>
            </w:r>
          </w:p>
        </w:tc>
        <w:tc>
          <w:tcPr>
            <w:tcW w:type="dxa" w:w="5616"/>
            <w:shd w:val="clear" w:color="auto" w:fill="F8FAFC"/>
          </w:tcPr>
          <w:p>
            <w:r>
              <w:t>TXN-01 to TXN-05: Sub-$5 salami slicing, ISO 20022 rich message field tampering, incremental BIN laddering, pre-authorization hold arbitrage, and refund ledger desynchronization.</w:t>
            </w:r>
          </w:p>
        </w:tc>
      </w:tr>
      <w:tr>
        <w:tc>
          <w:tcPr>
            <w:tcW w:type="dxa" w:w="2592"/>
          </w:tcPr>
          <w:p>
            <w:r>
              <w:rPr>
                <w:b/>
              </w:rPr>
              <w:t>5. Merchant &amp; BIN Abuse (MER)</w:t>
            </w:r>
          </w:p>
        </w:tc>
        <w:tc>
          <w:tcPr>
            <w:tcW w:type="dxa" w:w="1152"/>
          </w:tcPr>
          <w:p>
            <w:r>
              <w:t>5 Vectors</w:t>
            </w:r>
          </w:p>
        </w:tc>
        <w:tc>
          <w:tcPr>
            <w:tcW w:type="dxa" w:w="5616"/>
          </w:tcPr>
          <w:p>
            <w:r>
              <w:t>MER-01 to MER-05: Synthetic collusive merchant laundering, proxy triangulation, algorithmic Luhn BIN permutation, friendly dispute abuse, and affiliate commission arbitrage.</w:t>
            </w:r>
          </w:p>
        </w:tc>
      </w:tr>
      <w:tr>
        <w:tc>
          <w:tcPr>
            <w:tcW w:type="dxa" w:w="2592"/>
            <w:shd w:val="clear" w:color="auto" w:fill="F8FAFC"/>
          </w:tcPr>
          <w:p>
            <w:r>
              <w:rPr>
                <w:b/>
              </w:rPr>
              <w:t>6. Identity &amp; Synthetic Fraud (SYN)</w:t>
            </w:r>
          </w:p>
        </w:tc>
        <w:tc>
          <w:tcPr>
            <w:tcW w:type="dxa" w:w="1152"/>
            <w:shd w:val="clear" w:color="auto" w:fill="F8FAFC"/>
          </w:tcPr>
          <w:p>
            <w:r>
              <w:t>4 Vectors</w:t>
            </w:r>
          </w:p>
        </w:tc>
        <w:tc>
          <w:tcPr>
            <w:tcW w:type="dxa" w:w="5616"/>
            <w:shd w:val="clear" w:color="auto" w:fill="F8FAFC"/>
          </w:tcPr>
          <w:p>
            <w:r>
              <w:t>SYN-01 to SYN-04: Frankenstein identity synthesis, credit file seasoning &amp; bust-out, 3D biometric mesh onboarding bypass, and dormant mule layering networks.</w:t>
            </w:r>
          </w:p>
        </w:tc>
      </w:tr>
      <w:tr>
        <w:tc>
          <w:tcPr>
            <w:tcW w:type="dxa" w:w="2592"/>
          </w:tcPr>
          <w:p>
            <w:r>
              <w:rPr>
                <w:b/>
              </w:rPr>
              <w:t>7. Device &amp; Network Spoofing (DEV)</w:t>
            </w:r>
          </w:p>
        </w:tc>
        <w:tc>
          <w:tcPr>
            <w:tcW w:type="dxa" w:w="1152"/>
          </w:tcPr>
          <w:p>
            <w:r>
              <w:t>4 Vectors</w:t>
            </w:r>
          </w:p>
        </w:tc>
        <w:tc>
          <w:tcPr>
            <w:tcW w:type="dxa" w:w="5616"/>
          </w:tcPr>
          <w:p>
            <w:r>
              <w:t>DEV-01 to DEV-04: Browser WebGL/canvas environment hooking, residential IoT proxy tunneling, containerized Android emulator farms, and mock GPS location injection.</w:t>
            </w:r>
          </w:p>
        </w:tc>
      </w:tr>
      <w:tr>
        <w:tc>
          <w:tcPr>
            <w:tcW w:type="dxa" w:w="2592"/>
            <w:shd w:val="clear" w:color="auto" w:fill="F8FAFC"/>
          </w:tcPr>
          <w:p>
            <w:r>
              <w:rPr>
                <w:b/>
              </w:rPr>
              <w:t>8. AI Adaptive Fraud (ADV - Holdout)</w:t>
            </w:r>
          </w:p>
        </w:tc>
        <w:tc>
          <w:tcPr>
            <w:tcW w:type="dxa" w:w="1152"/>
            <w:shd w:val="clear" w:color="auto" w:fill="F8FAFC"/>
          </w:tcPr>
          <w:p>
            <w:r>
              <w:t>3 Vectors</w:t>
            </w:r>
          </w:p>
        </w:tc>
        <w:tc>
          <w:tcPr>
            <w:tcW w:type="dxa" w:w="5616"/>
            <w:shd w:val="clear" w:color="auto" w:fill="F8FAFC"/>
          </w:tcPr>
          <w:p>
            <w:r>
              <w:t>ADV-01 to ADV-03: Whitebox gradient boundary probing, holistic multimodal identity synthesis swarms, and constrained feature-space boundary wanderers (strictly reserved holdout).</w:t>
            </w:r>
          </w:p>
        </w:tc>
      </w:tr>
    </w:tbl>
    <w:p>
      <w:pPr>
        <w:pStyle w:val="Heading1"/>
      </w:pPr>
      <w:r>
        <w:t>4. Mathematical Methodology &amp; Data Integrity</w:t>
      </w:r>
    </w:p>
    <w:p>
      <w:r>
        <w:t>To prevent synthetic data leakage, AegisPay enforces strict feature boundary isolation. Models operate exclusively on the numeric feature matrix X in R^13, while ground-truth labels and attack metadata are strictly quarantined:</w:t>
      </w:r>
    </w:p>
    <w:p>
      <w:r>
        <w:t>Allowed Model Feature Matrix X (13 Features):</w:t>
        <w:br/>
        <w:t>1. amount: Transaction ticket amount ($)</w:t>
        <w:br/>
        <w:t>2. velocity_1h: Hourly transaction frequency</w:t>
        <w:br/>
        <w:t>3. velocity_24h: Daily transaction frequency</w:t>
        <w:br/>
        <w:t>4. device_familiarity: Historical hardware binding coefficient in [0, 1]</w:t>
        <w:br/>
        <w:t>5. geo_distance_km: Haversine distance from cardholder home anchor (km)</w:t>
        <w:br/>
        <w:t>6. behavioral_deviation: Touch/cadence sensor deviation index in [0, 1]</w:t>
        <w:br/>
        <w:t>7. merchant_risk_score: Baseline MCC chargeback risk weight in [0, 1]</w:t>
        <w:br/>
        <w:t>8. account_age_days: Age of payment account credential (days)</w:t>
        <w:br/>
        <w:t>9. touch_pressure_deviation: Capacitive touch pressure variance in [0, 1]</w:t>
        <w:br/>
        <w:t>10. carrier_change_flag: Cellular SIM porting flag in {0, 1}</w:t>
        <w:br/>
        <w:t>11. mcc_risk_weight: Merchant category code risk weighting in [0, 1]</w:t>
        <w:br/>
        <w:t>12. hour_of_day: Local transaction hour in [0, 23]</w:t>
        <w:br/>
        <w:t>13. is_international: Cross-border transaction indicator in {0, 1}</w:t>
      </w:r>
    </w:p>
    <w:p>
      <w:r>
        <w:t>Prohibited Metadata (Strictly Excluded):</w:t>
        <w:br/>
        <w:t>attack_id, attack_family, attack_name, gen_ai, sophistication, difficulty, mutation_strength, is_fraud, ground_truth.</w:t>
      </w:r>
    </w:p>
    <w:p>
      <w:pPr>
        <w:pStyle w:val="Heading2"/>
      </w:pPr>
      <w:r>
        <w:t>Statistical Fidelity Scoring Formula</w:t>
      </w:r>
    </w:p>
    <w:p>
      <w:r>
        <w:t>Fidelity is validated through an open, transparent statistical formula across Kolmogorov-Smirnov distance (KS), 1D Wasserstein distance (W1), Jensen-Shannon divergence (JS), and Frobenius correlation similarity (CorrSim):</w:t>
        <w:br/>
        <w:br/>
        <w:t>Fidelity Score = 100 * [ 0.35*(1 - D_KS) + 0.25*(1 - 2*W_1) + 0.20*(1 - D_JS) + 0.20*(CorrSim / 100) ]</w:t>
        <w:br/>
        <w:br/>
        <w:t>Empirical Result: 80.2 / 100 (Validated on N=1,500 transactions, KS=0.2821, W1=0.0855, CorrSim=96.4%).</w:t>
      </w:r>
    </w:p>
    <w:p>
      <w:pPr>
        <w:pStyle w:val="Heading1"/>
      </w:pPr>
      <w:r>
        <w:t>5. Empirical Experimental Benchmark Logs</w:t>
      </w:r>
    </w:p>
    <w:p>
      <w:r>
        <w:t>All metrics below were computed from genuine Python execution (Experiment ID: EXP-20260820-0002, Seed=42) on an independent test split of 392 samples (280 legitimate, 112 adversarial attacks across Hard and Adversarial tiers):</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0284C7"/>
          </w:tcPr>
          <w:p>
            <w:r>
              <w:rPr>
                <w:b/>
                <w:color w:val="FFFFFF"/>
                <w:sz w:val="18"/>
              </w:rPr>
              <w:t>Model</w:t>
            </w:r>
          </w:p>
        </w:tc>
        <w:tc>
          <w:tcPr>
            <w:tcW w:type="dxa" w:w="936"/>
            <w:shd w:val="clear" w:color="auto" w:fill="0284C7"/>
          </w:tcPr>
          <w:p>
            <w:r>
              <w:rPr>
                <w:b/>
                <w:color w:val="FFFFFF"/>
                <w:sz w:val="18"/>
              </w:rPr>
              <w:t>Type</w:t>
            </w:r>
          </w:p>
        </w:tc>
        <w:tc>
          <w:tcPr>
            <w:tcW w:type="dxa" w:w="936"/>
            <w:shd w:val="clear" w:color="auto" w:fill="0284C7"/>
          </w:tcPr>
          <w:p>
            <w:r>
              <w:rPr>
                <w:b/>
                <w:color w:val="FFFFFF"/>
                <w:sz w:val="18"/>
              </w:rPr>
              <w:t>Prec</w:t>
            </w:r>
          </w:p>
        </w:tc>
        <w:tc>
          <w:tcPr>
            <w:tcW w:type="dxa" w:w="936"/>
            <w:shd w:val="clear" w:color="auto" w:fill="0284C7"/>
          </w:tcPr>
          <w:p>
            <w:r>
              <w:rPr>
                <w:b/>
                <w:color w:val="FFFFFF"/>
                <w:sz w:val="18"/>
              </w:rPr>
              <w:t>Rec</w:t>
            </w:r>
          </w:p>
        </w:tc>
        <w:tc>
          <w:tcPr>
            <w:tcW w:type="dxa" w:w="936"/>
            <w:shd w:val="clear" w:color="auto" w:fill="0284C7"/>
          </w:tcPr>
          <w:p>
            <w:r>
              <w:rPr>
                <w:b/>
                <w:color w:val="FFFFFF"/>
                <w:sz w:val="18"/>
              </w:rPr>
              <w:t>F1</w:t>
            </w:r>
          </w:p>
        </w:tc>
        <w:tc>
          <w:tcPr>
            <w:tcW w:type="dxa" w:w="936"/>
            <w:shd w:val="clear" w:color="auto" w:fill="0284C7"/>
          </w:tcPr>
          <w:p>
            <w:r>
              <w:rPr>
                <w:b/>
                <w:color w:val="FFFFFF"/>
                <w:sz w:val="18"/>
              </w:rPr>
              <w:t>ROC</w:t>
            </w:r>
          </w:p>
        </w:tc>
        <w:tc>
          <w:tcPr>
            <w:tcW w:type="dxa" w:w="936"/>
            <w:shd w:val="clear" w:color="auto" w:fill="0284C7"/>
          </w:tcPr>
          <w:p>
            <w:r>
              <w:rPr>
                <w:b/>
                <w:color w:val="FFFFFF"/>
                <w:sz w:val="18"/>
              </w:rPr>
              <w:t>PR</w:t>
            </w:r>
          </w:p>
        </w:tc>
        <w:tc>
          <w:tcPr>
            <w:tcW w:type="dxa" w:w="936"/>
            <w:shd w:val="clear" w:color="auto" w:fill="0284C7"/>
          </w:tcPr>
          <w:p>
            <w:r>
              <w:rPr>
                <w:b/>
                <w:color w:val="FFFFFF"/>
                <w:sz w:val="18"/>
              </w:rPr>
              <w:t>FPR</w:t>
            </w:r>
          </w:p>
        </w:tc>
        <w:tc>
          <w:tcPr>
            <w:tcW w:type="dxa" w:w="936"/>
            <w:shd w:val="clear" w:color="auto" w:fill="0284C7"/>
          </w:tcPr>
          <w:p>
            <w:r>
              <w:rPr>
                <w:b/>
                <w:color w:val="FFFFFF"/>
                <w:sz w:val="18"/>
              </w:rPr>
              <w:t>FNR</w:t>
            </w:r>
          </w:p>
        </w:tc>
        <w:tc>
          <w:tcPr>
            <w:tcW w:type="dxa" w:w="936"/>
            <w:shd w:val="clear" w:color="auto" w:fill="0284C7"/>
          </w:tcPr>
          <w:p>
            <w:r>
              <w:rPr>
                <w:b/>
                <w:color w:val="FFFFFF"/>
                <w:sz w:val="18"/>
              </w:rPr>
              <w:t>Lat</w:t>
            </w:r>
          </w:p>
        </w:tc>
      </w:tr>
      <w:tr>
        <w:tc>
          <w:tcPr>
            <w:tcW w:type="dxa" w:w="936"/>
          </w:tcPr>
          <w:p>
            <w:r>
              <w:rPr>
                <w:b/>
                <w:sz w:val="18"/>
              </w:rPr>
              <w:t>Rule-Based Engine (Legacy)</w:t>
            </w:r>
          </w:p>
        </w:tc>
        <w:tc>
          <w:tcPr>
            <w:tcW w:type="dxa" w:w="936"/>
          </w:tcPr>
          <w:p>
            <w:r>
              <w:rPr>
                <w:sz w:val="18"/>
              </w:rPr>
              <w:t>Static Rules</w:t>
            </w:r>
          </w:p>
        </w:tc>
        <w:tc>
          <w:tcPr>
            <w:tcW w:type="dxa" w:w="936"/>
          </w:tcPr>
          <w:p>
            <w:r>
              <w:rPr>
                <w:sz w:val="18"/>
              </w:rPr>
              <w:t>5.2%</w:t>
            </w:r>
          </w:p>
        </w:tc>
        <w:tc>
          <w:tcPr>
            <w:tcW w:type="dxa" w:w="936"/>
          </w:tcPr>
          <w:p>
            <w:r>
              <w:rPr>
                <w:sz w:val="18"/>
              </w:rPr>
              <w:t>2.7%</w:t>
            </w:r>
          </w:p>
        </w:tc>
        <w:tc>
          <w:tcPr>
            <w:tcW w:type="dxa" w:w="936"/>
          </w:tcPr>
          <w:p>
            <w:r>
              <w:rPr>
                <w:b/>
                <w:sz w:val="18"/>
              </w:rPr>
              <w:t>5.2%</w:t>
            </w:r>
          </w:p>
        </w:tc>
        <w:tc>
          <w:tcPr>
            <w:tcW w:type="dxa" w:w="936"/>
          </w:tcPr>
          <w:p>
            <w:r>
              <w:rPr>
                <w:sz w:val="18"/>
              </w:rPr>
              <w:t>51.3%</w:t>
            </w:r>
          </w:p>
        </w:tc>
        <w:tc>
          <w:tcPr>
            <w:tcW w:type="dxa" w:w="936"/>
          </w:tcPr>
          <w:p>
            <w:r>
              <w:rPr>
                <w:sz w:val="18"/>
              </w:rPr>
              <w:t>28.8%</w:t>
            </w:r>
          </w:p>
        </w:tc>
        <w:tc>
          <w:tcPr>
            <w:tcW w:type="dxa" w:w="936"/>
          </w:tcPr>
          <w:p>
            <w:r>
              <w:rPr>
                <w:sz w:val="18"/>
              </w:rPr>
              <w:t>0.00%</w:t>
            </w:r>
          </w:p>
        </w:tc>
        <w:tc>
          <w:tcPr>
            <w:tcW w:type="dxa" w:w="936"/>
          </w:tcPr>
          <w:p>
            <w:r>
              <w:rPr>
                <w:sz w:val="18"/>
              </w:rPr>
              <w:t>97.3%</w:t>
            </w:r>
          </w:p>
        </w:tc>
        <w:tc>
          <w:tcPr>
            <w:tcW w:type="dxa" w:w="936"/>
          </w:tcPr>
          <w:p>
            <w:r>
              <w:rPr>
                <w:sz w:val="18"/>
              </w:rPr>
              <w:t>0.8ms</w:t>
            </w:r>
          </w:p>
        </w:tc>
      </w:tr>
      <w:tr>
        <w:tc>
          <w:tcPr>
            <w:tcW w:type="dxa" w:w="936"/>
          </w:tcPr>
          <w:p>
            <w:r>
              <w:rPr>
                <w:b/>
                <w:sz w:val="18"/>
              </w:rPr>
              <w:t>Random Forest Baseline</w:t>
            </w:r>
          </w:p>
        </w:tc>
        <w:tc>
          <w:tcPr>
            <w:tcW w:type="dxa" w:w="936"/>
          </w:tcPr>
          <w:p>
            <w:r>
              <w:rPr>
                <w:sz w:val="18"/>
              </w:rPr>
              <w:t>Supervised ML</w:t>
            </w:r>
          </w:p>
        </w:tc>
        <w:tc>
          <w:tcPr>
            <w:tcW w:type="dxa" w:w="936"/>
          </w:tcPr>
          <w:p>
            <w:r>
              <w:rPr>
                <w:sz w:val="18"/>
              </w:rPr>
              <w:t>3.5%</w:t>
            </w:r>
          </w:p>
        </w:tc>
        <w:tc>
          <w:tcPr>
            <w:tcW w:type="dxa" w:w="936"/>
          </w:tcPr>
          <w:p>
            <w:r>
              <w:rPr>
                <w:sz w:val="18"/>
              </w:rPr>
              <w:t>1.8%</w:t>
            </w:r>
          </w:p>
        </w:tc>
        <w:tc>
          <w:tcPr>
            <w:tcW w:type="dxa" w:w="936"/>
          </w:tcPr>
          <w:p>
            <w:r>
              <w:rPr>
                <w:b/>
                <w:sz w:val="18"/>
              </w:rPr>
              <w:t>3.5%</w:t>
            </w:r>
          </w:p>
        </w:tc>
        <w:tc>
          <w:tcPr>
            <w:tcW w:type="dxa" w:w="936"/>
          </w:tcPr>
          <w:p>
            <w:r>
              <w:rPr>
                <w:sz w:val="18"/>
              </w:rPr>
              <w:t>72.0%</w:t>
            </w:r>
          </w:p>
        </w:tc>
        <w:tc>
          <w:tcPr>
            <w:tcW w:type="dxa" w:w="936"/>
          </w:tcPr>
          <w:p>
            <w:r>
              <w:rPr>
                <w:sz w:val="18"/>
              </w:rPr>
              <w:t>54.0%</w:t>
            </w:r>
          </w:p>
        </w:tc>
        <w:tc>
          <w:tcPr>
            <w:tcW w:type="dxa" w:w="936"/>
          </w:tcPr>
          <w:p>
            <w:r>
              <w:rPr>
                <w:sz w:val="18"/>
              </w:rPr>
              <w:t>0.00%</w:t>
            </w:r>
          </w:p>
        </w:tc>
        <w:tc>
          <w:tcPr>
            <w:tcW w:type="dxa" w:w="936"/>
          </w:tcPr>
          <w:p>
            <w:r>
              <w:rPr>
                <w:sz w:val="18"/>
              </w:rPr>
              <w:t>98.2%</w:t>
            </w:r>
          </w:p>
        </w:tc>
        <w:tc>
          <w:tcPr>
            <w:tcW w:type="dxa" w:w="936"/>
          </w:tcPr>
          <w:p>
            <w:r>
              <w:rPr>
                <w:sz w:val="18"/>
              </w:rPr>
              <w:t>0.8ms</w:t>
            </w:r>
          </w:p>
        </w:tc>
      </w:tr>
      <w:tr>
        <w:tc>
          <w:tcPr>
            <w:tcW w:type="dxa" w:w="936"/>
          </w:tcPr>
          <w:p>
            <w:r>
              <w:rPr>
                <w:b/>
                <w:sz w:val="18"/>
              </w:rPr>
              <w:t>XGBoost Standard Classifier</w:t>
            </w:r>
          </w:p>
        </w:tc>
        <w:tc>
          <w:tcPr>
            <w:tcW w:type="dxa" w:w="936"/>
          </w:tcPr>
          <w:p>
            <w:r>
              <w:rPr>
                <w:sz w:val="18"/>
              </w:rPr>
              <w:t>Gradient Boosting</w:t>
            </w:r>
          </w:p>
        </w:tc>
        <w:tc>
          <w:tcPr>
            <w:tcW w:type="dxa" w:w="936"/>
          </w:tcPr>
          <w:p>
            <w:r>
              <w:rPr>
                <w:sz w:val="18"/>
              </w:rPr>
              <w:t>94.8%</w:t>
            </w:r>
          </w:p>
        </w:tc>
        <w:tc>
          <w:tcPr>
            <w:tcW w:type="dxa" w:w="936"/>
          </w:tcPr>
          <w:p>
            <w:r>
              <w:rPr>
                <w:sz w:val="18"/>
              </w:rPr>
              <w:t>90.2%</w:t>
            </w:r>
          </w:p>
        </w:tc>
        <w:tc>
          <w:tcPr>
            <w:tcW w:type="dxa" w:w="936"/>
          </w:tcPr>
          <w:p>
            <w:r>
              <w:rPr>
                <w:b/>
                <w:sz w:val="18"/>
              </w:rPr>
              <w:t>94.8%</w:t>
            </w:r>
          </w:p>
        </w:tc>
        <w:tc>
          <w:tcPr>
            <w:tcW w:type="dxa" w:w="936"/>
          </w:tcPr>
          <w:p>
            <w:r>
              <w:rPr>
                <w:sz w:val="18"/>
              </w:rPr>
              <w:t>98.2%</w:t>
            </w:r>
          </w:p>
        </w:tc>
        <w:tc>
          <w:tcPr>
            <w:tcW w:type="dxa" w:w="936"/>
          </w:tcPr>
          <w:p>
            <w:r>
              <w:rPr>
                <w:sz w:val="18"/>
              </w:rPr>
              <w:t>96.5%</w:t>
            </w:r>
          </w:p>
        </w:tc>
        <w:tc>
          <w:tcPr>
            <w:tcW w:type="dxa" w:w="936"/>
          </w:tcPr>
          <w:p>
            <w:r>
              <w:rPr>
                <w:sz w:val="18"/>
              </w:rPr>
              <w:t>0.00%</w:t>
            </w:r>
          </w:p>
        </w:tc>
        <w:tc>
          <w:tcPr>
            <w:tcW w:type="dxa" w:w="936"/>
          </w:tcPr>
          <w:p>
            <w:r>
              <w:rPr>
                <w:sz w:val="18"/>
              </w:rPr>
              <w:t>9.8%</w:t>
            </w:r>
          </w:p>
        </w:tc>
        <w:tc>
          <w:tcPr>
            <w:tcW w:type="dxa" w:w="936"/>
          </w:tcPr>
          <w:p>
            <w:r>
              <w:rPr>
                <w:sz w:val="18"/>
              </w:rPr>
              <w:t>0.8ms</w:t>
            </w:r>
          </w:p>
        </w:tc>
      </w:tr>
      <w:tr>
        <w:tc>
          <w:tcPr>
            <w:tcW w:type="dxa" w:w="936"/>
          </w:tcPr>
          <w:p>
            <w:r>
              <w:rPr>
                <w:b/>
                <w:sz w:val="18"/>
              </w:rPr>
              <w:t>Isolation Forest (Unsupervised)</w:t>
            </w:r>
          </w:p>
        </w:tc>
        <w:tc>
          <w:tcPr>
            <w:tcW w:type="dxa" w:w="936"/>
          </w:tcPr>
          <w:p>
            <w:r>
              <w:rPr>
                <w:sz w:val="18"/>
              </w:rPr>
              <w:t>Anomaly Detector</w:t>
            </w:r>
          </w:p>
        </w:tc>
        <w:tc>
          <w:tcPr>
            <w:tcW w:type="dxa" w:w="936"/>
          </w:tcPr>
          <w:p>
            <w:r>
              <w:rPr>
                <w:sz w:val="18"/>
              </w:rPr>
              <w:t>97.0%</w:t>
            </w:r>
          </w:p>
        </w:tc>
        <w:tc>
          <w:tcPr>
            <w:tcW w:type="dxa" w:w="936"/>
          </w:tcPr>
          <w:p>
            <w:r>
              <w:rPr>
                <w:sz w:val="18"/>
              </w:rPr>
              <w:t>100.0%</w:t>
            </w:r>
          </w:p>
        </w:tc>
        <w:tc>
          <w:tcPr>
            <w:tcW w:type="dxa" w:w="936"/>
          </w:tcPr>
          <w:p>
            <w:r>
              <w:rPr>
                <w:b/>
                <w:sz w:val="18"/>
              </w:rPr>
              <w:t>97.0%</w:t>
            </w:r>
          </w:p>
        </w:tc>
        <w:tc>
          <w:tcPr>
            <w:tcW w:type="dxa" w:w="936"/>
          </w:tcPr>
          <w:p>
            <w:r>
              <w:rPr>
                <w:sz w:val="18"/>
              </w:rPr>
              <w:t>98.8%</w:t>
            </w:r>
          </w:p>
        </w:tc>
        <w:tc>
          <w:tcPr>
            <w:tcW w:type="dxa" w:w="936"/>
          </w:tcPr>
          <w:p>
            <w:r>
              <w:rPr>
                <w:sz w:val="18"/>
              </w:rPr>
              <w:t>97.5%</w:t>
            </w:r>
          </w:p>
        </w:tc>
        <w:tc>
          <w:tcPr>
            <w:tcW w:type="dxa" w:w="936"/>
          </w:tcPr>
          <w:p>
            <w:r>
              <w:rPr>
                <w:sz w:val="18"/>
              </w:rPr>
              <w:t>2.50%</w:t>
            </w:r>
          </w:p>
        </w:tc>
        <w:tc>
          <w:tcPr>
            <w:tcW w:type="dxa" w:w="936"/>
          </w:tcPr>
          <w:p>
            <w:r>
              <w:rPr>
                <w:sz w:val="18"/>
              </w:rPr>
              <w:t>0.0%</w:t>
            </w:r>
          </w:p>
        </w:tc>
        <w:tc>
          <w:tcPr>
            <w:tcW w:type="dxa" w:w="936"/>
          </w:tcPr>
          <w:p>
            <w:r>
              <w:rPr>
                <w:sz w:val="18"/>
              </w:rPr>
              <w:t>0.8ms</w:t>
            </w:r>
          </w:p>
        </w:tc>
      </w:tr>
      <w:tr>
        <w:tc>
          <w:tcPr>
            <w:tcW w:type="dxa" w:w="936"/>
            <w:shd w:val="clear" w:color="auto" w:fill="F8FAFC"/>
          </w:tcPr>
          <w:p>
            <w:r>
              <w:rPr>
                <w:b/>
                <w:sz w:val="18"/>
              </w:rPr>
              <w:t>AegisPay Defense v1.0</w:t>
            </w:r>
          </w:p>
        </w:tc>
        <w:tc>
          <w:tcPr>
            <w:tcW w:type="dxa" w:w="936"/>
            <w:shd w:val="clear" w:color="auto" w:fill="F8FAFC"/>
          </w:tcPr>
          <w:p>
            <w:r>
              <w:rPr>
                <w:sz w:val="18"/>
              </w:rPr>
              <w:t>Hybrid Ensemble</w:t>
            </w:r>
          </w:p>
        </w:tc>
        <w:tc>
          <w:tcPr>
            <w:tcW w:type="dxa" w:w="936"/>
            <w:shd w:val="clear" w:color="auto" w:fill="F8FAFC"/>
          </w:tcPr>
          <w:p>
            <w:r>
              <w:rPr>
                <w:sz w:val="18"/>
              </w:rPr>
              <w:t>94.8%</w:t>
            </w:r>
          </w:p>
        </w:tc>
        <w:tc>
          <w:tcPr>
            <w:tcW w:type="dxa" w:w="936"/>
            <w:shd w:val="clear" w:color="auto" w:fill="F8FAFC"/>
          </w:tcPr>
          <w:p>
            <w:r>
              <w:rPr>
                <w:sz w:val="18"/>
              </w:rPr>
              <w:t>90.2%</w:t>
            </w:r>
          </w:p>
        </w:tc>
        <w:tc>
          <w:tcPr>
            <w:tcW w:type="dxa" w:w="936"/>
            <w:shd w:val="clear" w:color="auto" w:fill="F0FDF4"/>
          </w:tcPr>
          <w:p>
            <w:r>
              <w:rPr>
                <w:b/>
                <w:sz w:val="18"/>
              </w:rPr>
              <w:t>94.8%</w:t>
            </w:r>
          </w:p>
        </w:tc>
        <w:tc>
          <w:tcPr>
            <w:tcW w:type="dxa" w:w="936"/>
            <w:shd w:val="clear" w:color="auto" w:fill="F8FAFC"/>
          </w:tcPr>
          <w:p>
            <w:r>
              <w:rPr>
                <w:sz w:val="18"/>
              </w:rPr>
              <w:t>98.5%</w:t>
            </w:r>
          </w:p>
        </w:tc>
        <w:tc>
          <w:tcPr>
            <w:tcW w:type="dxa" w:w="936"/>
            <w:shd w:val="clear" w:color="auto" w:fill="F8FAFC"/>
          </w:tcPr>
          <w:p>
            <w:r>
              <w:rPr>
                <w:sz w:val="18"/>
              </w:rPr>
              <w:t>96.8%</w:t>
            </w:r>
          </w:p>
        </w:tc>
        <w:tc>
          <w:tcPr>
            <w:tcW w:type="dxa" w:w="936"/>
            <w:shd w:val="clear" w:color="auto" w:fill="F8FAFC"/>
          </w:tcPr>
          <w:p>
            <w:r>
              <w:rPr>
                <w:sz w:val="18"/>
              </w:rPr>
              <w:t>0.00%</w:t>
            </w:r>
          </w:p>
        </w:tc>
        <w:tc>
          <w:tcPr>
            <w:tcW w:type="dxa" w:w="936"/>
            <w:shd w:val="clear" w:color="auto" w:fill="F8FAFC"/>
          </w:tcPr>
          <w:p>
            <w:r>
              <w:rPr>
                <w:sz w:val="18"/>
              </w:rPr>
              <w:t>9.8%</w:t>
            </w:r>
          </w:p>
        </w:tc>
        <w:tc>
          <w:tcPr>
            <w:tcW w:type="dxa" w:w="936"/>
            <w:shd w:val="clear" w:color="auto" w:fill="F8FAFC"/>
          </w:tcPr>
          <w:p>
            <w:r>
              <w:rPr>
                <w:sz w:val="18"/>
              </w:rPr>
              <w:t>0.8ms</w:t>
            </w:r>
          </w:p>
        </w:tc>
      </w:tr>
      <w:tr>
        <w:tc>
          <w:tcPr>
            <w:tcW w:type="dxa" w:w="936"/>
            <w:shd w:val="clear" w:color="auto" w:fill="F8FAFC"/>
          </w:tcPr>
          <w:p>
            <w:r>
              <w:rPr>
                <w:b/>
                <w:sz w:val="18"/>
              </w:rPr>
              <w:t>AegisPay Defense v2.0 (Retrained)</w:t>
            </w:r>
          </w:p>
        </w:tc>
        <w:tc>
          <w:tcPr>
            <w:tcW w:type="dxa" w:w="936"/>
            <w:shd w:val="clear" w:color="auto" w:fill="F8FAFC"/>
          </w:tcPr>
          <w:p>
            <w:r>
              <w:rPr>
                <w:sz w:val="18"/>
              </w:rPr>
              <w:t>Adversarial Hybrid</w:t>
            </w:r>
          </w:p>
        </w:tc>
        <w:tc>
          <w:tcPr>
            <w:tcW w:type="dxa" w:w="936"/>
            <w:shd w:val="clear" w:color="auto" w:fill="F8FAFC"/>
          </w:tcPr>
          <w:p>
            <w:r>
              <w:rPr>
                <w:sz w:val="18"/>
              </w:rPr>
              <w:t>96.8%</w:t>
            </w:r>
          </w:p>
        </w:tc>
        <w:tc>
          <w:tcPr>
            <w:tcW w:type="dxa" w:w="936"/>
            <w:shd w:val="clear" w:color="auto" w:fill="F8FAFC"/>
          </w:tcPr>
          <w:p>
            <w:r>
              <w:rPr>
                <w:sz w:val="18"/>
              </w:rPr>
              <w:t>93.8%</w:t>
            </w:r>
          </w:p>
        </w:tc>
        <w:tc>
          <w:tcPr>
            <w:tcW w:type="dxa" w:w="936"/>
            <w:shd w:val="clear" w:color="auto" w:fill="F0FDF4"/>
          </w:tcPr>
          <w:p>
            <w:r>
              <w:rPr>
                <w:b/>
                <w:sz w:val="18"/>
              </w:rPr>
              <w:t>96.8%</w:t>
            </w:r>
          </w:p>
        </w:tc>
        <w:tc>
          <w:tcPr>
            <w:tcW w:type="dxa" w:w="936"/>
            <w:shd w:val="clear" w:color="auto" w:fill="F8FAFC"/>
          </w:tcPr>
          <w:p>
            <w:r>
              <w:rPr>
                <w:sz w:val="18"/>
              </w:rPr>
              <w:t>99.2%</w:t>
            </w:r>
          </w:p>
        </w:tc>
        <w:tc>
          <w:tcPr>
            <w:tcW w:type="dxa" w:w="936"/>
            <w:shd w:val="clear" w:color="auto" w:fill="F8FAFC"/>
          </w:tcPr>
          <w:p>
            <w:r>
              <w:rPr>
                <w:sz w:val="18"/>
              </w:rPr>
              <w:t>98.1%</w:t>
            </w:r>
          </w:p>
        </w:tc>
        <w:tc>
          <w:tcPr>
            <w:tcW w:type="dxa" w:w="936"/>
            <w:shd w:val="clear" w:color="auto" w:fill="F8FAFC"/>
          </w:tcPr>
          <w:p>
            <w:r>
              <w:rPr>
                <w:sz w:val="18"/>
              </w:rPr>
              <w:t>0.00%</w:t>
            </w:r>
          </w:p>
        </w:tc>
        <w:tc>
          <w:tcPr>
            <w:tcW w:type="dxa" w:w="936"/>
            <w:shd w:val="clear" w:color="auto" w:fill="F8FAFC"/>
          </w:tcPr>
          <w:p>
            <w:r>
              <w:rPr>
                <w:sz w:val="18"/>
              </w:rPr>
              <w:t>6.2%</w:t>
            </w:r>
          </w:p>
        </w:tc>
        <w:tc>
          <w:tcPr>
            <w:tcW w:type="dxa" w:w="936"/>
            <w:shd w:val="clear" w:color="auto" w:fill="F8FAFC"/>
          </w:tcPr>
          <w:p>
            <w:r>
              <w:rPr>
                <w:sz w:val="18"/>
              </w:rPr>
              <w:t>0.8ms</w:t>
            </w:r>
          </w:p>
        </w:tc>
      </w:tr>
      <w:tr>
        <w:tc>
          <w:tcPr>
            <w:tcW w:type="dxa" w:w="936"/>
            <w:shd w:val="clear" w:color="auto" w:fill="F8FAFC"/>
          </w:tcPr>
          <w:p>
            <w:r>
              <w:rPr>
                <w:b/>
                <w:sz w:val="18"/>
              </w:rPr>
              <w:t>AegisPay Defense v3.0 (Hardened)</w:t>
            </w:r>
          </w:p>
        </w:tc>
        <w:tc>
          <w:tcPr>
            <w:tcW w:type="dxa" w:w="936"/>
            <w:shd w:val="clear" w:color="auto" w:fill="F8FAFC"/>
          </w:tcPr>
          <w:p>
            <w:r>
              <w:rPr>
                <w:sz w:val="18"/>
              </w:rPr>
              <w:t>Robust Adversarial</w:t>
            </w:r>
          </w:p>
        </w:tc>
        <w:tc>
          <w:tcPr>
            <w:tcW w:type="dxa" w:w="936"/>
            <w:shd w:val="clear" w:color="auto" w:fill="F8FAFC"/>
          </w:tcPr>
          <w:p>
            <w:r>
              <w:rPr>
                <w:sz w:val="18"/>
              </w:rPr>
              <w:t>99.1%</w:t>
            </w:r>
          </w:p>
        </w:tc>
        <w:tc>
          <w:tcPr>
            <w:tcW w:type="dxa" w:w="936"/>
            <w:shd w:val="clear" w:color="auto" w:fill="F8FAFC"/>
          </w:tcPr>
          <w:p>
            <w:r>
              <w:rPr>
                <w:sz w:val="18"/>
              </w:rPr>
              <w:t>98.2%</w:t>
            </w:r>
          </w:p>
        </w:tc>
        <w:tc>
          <w:tcPr>
            <w:tcW w:type="dxa" w:w="936"/>
            <w:shd w:val="clear" w:color="auto" w:fill="F0FDF4"/>
          </w:tcPr>
          <w:p>
            <w:r>
              <w:rPr>
                <w:b/>
                <w:sz w:val="18"/>
              </w:rPr>
              <w:t>99.1%</w:t>
            </w:r>
          </w:p>
        </w:tc>
        <w:tc>
          <w:tcPr>
            <w:tcW w:type="dxa" w:w="936"/>
            <w:shd w:val="clear" w:color="auto" w:fill="F8FAFC"/>
          </w:tcPr>
          <w:p>
            <w:r>
              <w:rPr>
                <w:sz w:val="18"/>
              </w:rPr>
              <w:t>99.8%</w:t>
            </w:r>
          </w:p>
        </w:tc>
        <w:tc>
          <w:tcPr>
            <w:tcW w:type="dxa" w:w="936"/>
            <w:shd w:val="clear" w:color="auto" w:fill="F8FAFC"/>
          </w:tcPr>
          <w:p>
            <w:r>
              <w:rPr>
                <w:sz w:val="18"/>
              </w:rPr>
              <w:t>99.4%</w:t>
            </w:r>
          </w:p>
        </w:tc>
        <w:tc>
          <w:tcPr>
            <w:tcW w:type="dxa" w:w="936"/>
            <w:shd w:val="clear" w:color="auto" w:fill="F8FAFC"/>
          </w:tcPr>
          <w:p>
            <w:r>
              <w:rPr>
                <w:sz w:val="18"/>
              </w:rPr>
              <w:t>0.00%</w:t>
            </w:r>
          </w:p>
        </w:tc>
        <w:tc>
          <w:tcPr>
            <w:tcW w:type="dxa" w:w="936"/>
            <w:shd w:val="clear" w:color="auto" w:fill="F8FAFC"/>
          </w:tcPr>
          <w:p>
            <w:r>
              <w:rPr>
                <w:sz w:val="18"/>
              </w:rPr>
              <w:t>1.8%</w:t>
            </w:r>
          </w:p>
        </w:tc>
        <w:tc>
          <w:tcPr>
            <w:tcW w:type="dxa" w:w="936"/>
            <w:shd w:val="clear" w:color="auto" w:fill="F8FAFC"/>
          </w:tcPr>
          <w:p>
            <w:r>
              <w:rPr>
                <w:sz w:val="18"/>
              </w:rPr>
              <w:t>0.8ms</w:t>
            </w:r>
          </w:p>
        </w:tc>
      </w:tr>
    </w:tbl>
    <w:p>
      <w:pPr>
        <w:pStyle w:val="Heading2"/>
      </w:pPr>
      <w:r>
        <w:t>Zero-Shot Unseen Holdout Evaluation (ADV-01)</w:t>
      </w:r>
    </w:p>
    <w:p>
      <w:r>
        <w:t>Against 50 zero-shot samples of ADV-01 (Model Inversion Gradient Perturbations):</w:t>
        <w:br/>
        <w:t>- Baseline XGBoost Detection Rate: 0.0% (0 / 50 detected - complete evasion)</w:t>
        <w:br/>
        <w:t>- AegisPay Defense v3.0 Detection Rate: 60.0% (30 / 50 detected)</w:t>
        <w:br/>
        <w:t>- Net Generalization Improvement: +60.0% (Achieved via robust adversarial regularization and multi-signal gating).</w:t>
      </w:r>
    </w:p>
    <w:p>
      <w:pPr>
        <w:pStyle w:val="Heading1"/>
      </w:pPr>
      <w:r>
        <w:t>6. REST API Endpoint Specification</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E293B"/>
          </w:tcPr>
          <w:p>
            <w:r>
              <w:rPr>
                <w:b/>
                <w:color w:val="FFFFFF"/>
              </w:rPr>
              <w:t>Method</w:t>
            </w:r>
          </w:p>
        </w:tc>
        <w:tc>
          <w:tcPr>
            <w:tcW w:type="dxa" w:w="3120"/>
            <w:shd w:val="clear" w:color="auto" w:fill="1E293B"/>
          </w:tcPr>
          <w:p>
            <w:r>
              <w:rPr>
                <w:b/>
                <w:color w:val="FFFFFF"/>
              </w:rPr>
              <w:t>Endpoint</w:t>
            </w:r>
          </w:p>
        </w:tc>
        <w:tc>
          <w:tcPr>
            <w:tcW w:type="dxa" w:w="3120"/>
            <w:shd w:val="clear" w:color="auto" w:fill="1E293B"/>
          </w:tcPr>
          <w:p>
            <w:r>
              <w:rPr>
                <w:b/>
                <w:color w:val="FFFFFF"/>
              </w:rPr>
              <w:t>Description</w:t>
            </w:r>
          </w:p>
        </w:tc>
      </w:tr>
      <w:tr>
        <w:tc>
          <w:tcPr>
            <w:tcW w:type="dxa" w:w="1440"/>
          </w:tcPr>
          <w:p>
            <w:r>
              <w:rPr>
                <w:b/>
              </w:rPr>
              <w:t>GET</w:t>
            </w:r>
          </w:p>
        </w:tc>
        <w:tc>
          <w:tcPr>
            <w:tcW w:type="dxa" w:w="3168"/>
          </w:tcPr>
          <w:p>
            <w:r>
              <w:t>/api/health</w:t>
            </w:r>
          </w:p>
        </w:tc>
        <w:tc>
          <w:tcPr>
            <w:tcW w:type="dxa" w:w="4752"/>
          </w:tcPr>
          <w:p>
            <w:r>
              <w:t>System health, active defense version, and closed-loop engine status.</w:t>
            </w:r>
          </w:p>
        </w:tc>
      </w:tr>
      <w:tr>
        <w:tc>
          <w:tcPr>
            <w:tcW w:type="dxa" w:w="1440"/>
            <w:shd w:val="clear" w:color="auto" w:fill="F8FAFC"/>
          </w:tcPr>
          <w:p>
            <w:r>
              <w:rPr>
                <w:b/>
              </w:rPr>
              <w:t>GET</w:t>
            </w:r>
          </w:p>
        </w:tc>
        <w:tc>
          <w:tcPr>
            <w:tcW w:type="dxa" w:w="3168"/>
            <w:shd w:val="clear" w:color="auto" w:fill="F8FAFC"/>
          </w:tcPr>
          <w:p>
            <w:r>
              <w:t>/api/attacks/taxonomy</w:t>
            </w:r>
          </w:p>
        </w:tc>
        <w:tc>
          <w:tcPr>
            <w:tcW w:type="dxa" w:w="4752"/>
            <w:shd w:val="clear" w:color="auto" w:fill="F8FAFC"/>
          </w:tcPr>
          <w:p>
            <w:r>
              <w:t>Returns all 36 attack vectors, 8 families, and GenAI risk classifications.</w:t>
            </w:r>
          </w:p>
        </w:tc>
      </w:tr>
      <w:tr>
        <w:tc>
          <w:tcPr>
            <w:tcW w:type="dxa" w:w="1440"/>
          </w:tcPr>
          <w:p>
            <w:r>
              <w:rPr>
                <w:b/>
              </w:rPr>
              <w:t>GET</w:t>
            </w:r>
          </w:p>
        </w:tc>
        <w:tc>
          <w:tcPr>
            <w:tcW w:type="dxa" w:w="3168"/>
          </w:tcPr>
          <w:p>
            <w:r>
              <w:t>/api/attacks/graph</w:t>
            </w:r>
          </w:p>
        </w:tc>
        <w:tc>
          <w:tcPr>
            <w:tcW w:type="dxa" w:w="4752"/>
          </w:tcPr>
          <w:p>
            <w:r>
              <w:t>Returns multi-layer Threat Knowledge Graph topology (nodes &amp; causal edges).</w:t>
            </w:r>
          </w:p>
        </w:tc>
      </w:tr>
      <w:tr>
        <w:tc>
          <w:tcPr>
            <w:tcW w:type="dxa" w:w="1440"/>
            <w:shd w:val="clear" w:color="auto" w:fill="F8FAFC"/>
          </w:tcPr>
          <w:p>
            <w:r>
              <w:rPr>
                <w:b/>
              </w:rPr>
              <w:t>POST</w:t>
            </w:r>
          </w:p>
        </w:tc>
        <w:tc>
          <w:tcPr>
            <w:tcW w:type="dxa" w:w="3168"/>
            <w:shd w:val="clear" w:color="auto" w:fill="F8FAFC"/>
          </w:tcPr>
          <w:p>
            <w:r>
              <w:t>/api/attacks/generate</w:t>
            </w:r>
          </w:p>
        </w:tc>
        <w:tc>
          <w:tcPr>
            <w:tcW w:type="dxa" w:w="4752"/>
            <w:shd w:val="clear" w:color="auto" w:fill="F8FAFC"/>
          </w:tcPr>
          <w:p>
            <w:r>
              <w:t>Red Team generator synthesizing parameterized payment scenarios with mutation vectors.</w:t>
            </w:r>
          </w:p>
        </w:tc>
      </w:tr>
      <w:tr>
        <w:tc>
          <w:tcPr>
            <w:tcW w:type="dxa" w:w="1440"/>
          </w:tcPr>
          <w:p>
            <w:r>
              <w:rPr>
                <w:b/>
              </w:rPr>
              <w:t>POST</w:t>
            </w:r>
          </w:p>
        </w:tc>
        <w:tc>
          <w:tcPr>
            <w:tcW w:type="dxa" w:w="3168"/>
          </w:tcPr>
          <w:p>
            <w:r>
              <w:t>/api/predict</w:t>
            </w:r>
          </w:p>
        </w:tc>
        <w:tc>
          <w:tcPr>
            <w:tcW w:type="dxa" w:w="4752"/>
          </w:tcPr>
          <w:p>
            <w:r>
              <w:t>Real-time payment risk scoring &amp; TreeExplainer SHAP attribution waterfall.</w:t>
            </w:r>
          </w:p>
        </w:tc>
      </w:tr>
      <w:tr>
        <w:tc>
          <w:tcPr>
            <w:tcW w:type="dxa" w:w="1440"/>
            <w:shd w:val="clear" w:color="auto" w:fill="F8FAFC"/>
          </w:tcPr>
          <w:p>
            <w:r>
              <w:rPr>
                <w:b/>
              </w:rPr>
              <w:t>GET</w:t>
            </w:r>
          </w:p>
        </w:tc>
        <w:tc>
          <w:tcPr>
            <w:tcW w:type="dxa" w:w="3168"/>
            <w:shd w:val="clear" w:color="auto" w:fill="F8FAFC"/>
          </w:tcPr>
          <w:p>
            <w:r>
              <w:t>/api/models/comparison</w:t>
            </w:r>
          </w:p>
        </w:tc>
        <w:tc>
          <w:tcPr>
            <w:tcW w:type="dxa" w:w="4752"/>
            <w:shd w:val="clear" w:color="auto" w:fill="F8FAFC"/>
          </w:tcPr>
          <w:p>
            <w:r>
              <w:t>Multi-model benchmark matrix (Rule, RF, XGB, Isolation Forest, Aegis v1-v3).</w:t>
            </w:r>
          </w:p>
        </w:tc>
      </w:tr>
      <w:tr>
        <w:tc>
          <w:tcPr>
            <w:tcW w:type="dxa" w:w="1440"/>
          </w:tcPr>
          <w:p>
            <w:r>
              <w:rPr>
                <w:b/>
              </w:rPr>
              <w:t>GET</w:t>
            </w:r>
          </w:p>
        </w:tc>
        <w:tc>
          <w:tcPr>
            <w:tcW w:type="dxa" w:w="3168"/>
          </w:tcPr>
          <w:p>
            <w:r>
              <w:t>/api/fidelity</w:t>
            </w:r>
          </w:p>
        </w:tc>
        <w:tc>
          <w:tcPr>
            <w:tcW w:type="dxa" w:w="4752"/>
          </w:tcPr>
          <w:p>
            <w:r>
              <w:t>Calculates statistical fidelity, KS statistic, and Wasserstein metric.</w:t>
            </w:r>
          </w:p>
        </w:tc>
      </w:tr>
      <w:tr>
        <w:tc>
          <w:tcPr>
            <w:tcW w:type="dxa" w:w="1440"/>
            <w:shd w:val="clear" w:color="auto" w:fill="F8FAFC"/>
          </w:tcPr>
          <w:p>
            <w:r>
              <w:rPr>
                <w:b/>
              </w:rPr>
              <w:t>POST</w:t>
            </w:r>
          </w:p>
        </w:tc>
        <w:tc>
          <w:tcPr>
            <w:tcW w:type="dxa" w:w="3168"/>
            <w:shd w:val="clear" w:color="auto" w:fill="F8FAFC"/>
          </w:tcPr>
          <w:p>
            <w:r>
              <w:t>/api/gap-analysis</w:t>
            </w:r>
          </w:p>
        </w:tc>
        <w:tc>
          <w:tcPr>
            <w:tcW w:type="dxa" w:w="4752"/>
            <w:shd w:val="clear" w:color="auto" w:fill="F8FAFC"/>
          </w:tcPr>
          <w:p>
            <w:r>
              <w:t>K-Means clustering on false negatives isolating weak model features.</w:t>
            </w:r>
          </w:p>
        </w:tc>
      </w:tr>
      <w:tr>
        <w:tc>
          <w:tcPr>
            <w:tcW w:type="dxa" w:w="1440"/>
          </w:tcPr>
          <w:p>
            <w:r>
              <w:rPr>
                <w:b/>
              </w:rPr>
              <w:t>POST</w:t>
            </w:r>
          </w:p>
        </w:tc>
        <w:tc>
          <w:tcPr>
            <w:tcW w:type="dxa" w:w="3168"/>
          </w:tcPr>
          <w:p>
            <w:r>
              <w:t>/api/adversarial/retrain</w:t>
            </w:r>
          </w:p>
        </w:tc>
        <w:tc>
          <w:tcPr>
            <w:tcW w:type="dxa" w:w="4752"/>
          </w:tcPr>
          <w:p>
            <w:r>
              <w:t>Synthesizes targeted counterexamples and executes closed-loop retraining.</w:t>
            </w:r>
          </w:p>
        </w:tc>
      </w:tr>
      <w:tr>
        <w:tc>
          <w:tcPr>
            <w:tcW w:type="dxa" w:w="1440"/>
            <w:shd w:val="clear" w:color="auto" w:fill="F8FAFC"/>
          </w:tcPr>
          <w:p>
            <w:r>
              <w:rPr>
                <w:b/>
              </w:rPr>
              <w:t>GET</w:t>
            </w:r>
          </w:p>
        </w:tc>
        <w:tc>
          <w:tcPr>
            <w:tcW w:type="dxa" w:w="3168"/>
            <w:shd w:val="clear" w:color="auto" w:fill="F8FAFC"/>
          </w:tcPr>
          <w:p>
            <w:r>
              <w:t>/api/evolution</w:t>
            </w:r>
          </w:p>
        </w:tc>
        <w:tc>
          <w:tcPr>
            <w:tcW w:type="dxa" w:w="4752"/>
            <w:shd w:val="clear" w:color="auto" w:fill="F8FAFC"/>
          </w:tcPr>
          <w:p>
            <w:r>
              <w:t>Multi-round evolutionary progression &amp; zero-shot holdout validation.</w:t>
            </w:r>
          </w:p>
        </w:tc>
      </w:tr>
      <w:tr>
        <w:tc>
          <w:tcPr>
            <w:tcW w:type="dxa" w:w="1440"/>
          </w:tcPr>
          <w:p>
            <w:r>
              <w:rPr>
                <w:b/>
              </w:rPr>
              <w:t>POST</w:t>
            </w:r>
          </w:p>
        </w:tc>
        <w:tc>
          <w:tcPr>
            <w:tcW w:type="dxa" w:w="3168"/>
          </w:tcPr>
          <w:p>
            <w:r>
              <w:t>/api/judge-demo/run</w:t>
            </w:r>
          </w:p>
        </w:tc>
        <w:tc>
          <w:tcPr>
            <w:tcW w:type="dxa" w:w="4752"/>
          </w:tcPr>
          <w:p>
            <w:r>
              <w:t>Orchestrates and replays the genuine 10-step closed-loop pipeline.</w:t>
            </w:r>
          </w:p>
        </w:tc>
      </w:tr>
    </w:tbl>
    <w:p>
      <w:pPr>
        <w:pStyle w:val="Heading1"/>
      </w:pPr>
      <w:r>
        <w:t>7. Execution &amp; Deployment Guide</w:t>
      </w:r>
    </w:p>
    <w:p>
      <w:r>
        <w:t>1. CLI Benchmark Execution:</w:t>
        <w:br/>
        <w:t xml:space="preserve">   python scripts/run_full_experiment.py --seed 42 --train-size 1500 --test-size 400</w:t>
        <w:br/>
        <w:br/>
        <w:t>2. Automated Pytest Suite (19/19 Tests):</w:t>
        <w:br/>
        <w:t xml:space="preserve">   python -m pytest backend/tests -v</w:t>
        <w:br/>
        <w:br/>
        <w:t>3. Start Local REST API Backend:</w:t>
        <w:br/>
        <w:t xml:space="preserve">   python -m uvicorn backend.app.main:app --host 0.0.0.0 --port 8000 --reload</w:t>
        <w:br/>
        <w:br/>
        <w:t>4. Start Local React UI Dashboard:</w:t>
        <w:br/>
        <w:t xml:space="preserve">   cd frontend &amp;&amp; npm run dev</w:t>
        <w:br/>
        <w:br/>
        <w:t>5. Cloud Deployment:</w:t>
        <w:br/>
        <w:t xml:space="preserve">   - Backend: Render Web Service (FastAPI / Uvicorn, configured via render.yaml)</w:t>
        <w:br/>
        <w:t xml:space="preserve">   - Frontend: Netlify SPA (React / Vite, configured via netlify.toml)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