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TEST PLAN</w:t>
      </w:r>
    </w:p>
    <w:p>
      <w:r>
        <w:rPr>
          <w:b/>
          <w:sz w:val="24"/>
        </w:rPr>
        <w:t>1. Testing Levels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System/end-to-end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AI evaluation</w:t>
      </w:r>
    </w:p>
    <w:p>
      <w:pPr>
        <w:pStyle w:val="ListBullet"/>
      </w:pPr>
      <w:r>
        <w:t>Usability testing</w:t>
      </w:r>
    </w:p>
    <w:p>
      <w:r>
        <w:rPr>
          <w:b/>
          <w:sz w:val="24"/>
        </w:rPr>
        <w:t>2. Critical Test Cases</w:t>
      </w:r>
    </w:p>
    <w:p>
      <w:r>
        <w:t>TC-01 Valid login → correct dashboard.</w:t>
      </w:r>
    </w:p>
    <w:p>
      <w:r>
        <w:t>TC-02 Invalid login → access denied.</w:t>
      </w:r>
    </w:p>
    <w:p>
      <w:r>
        <w:t>TC-03 Student requests another student's private data → denied.</w:t>
      </w:r>
    </w:p>
    <w:p>
      <w:r>
        <w:t>TC-04 Invalid marks → validation error.</w:t>
      </w:r>
    </w:p>
    <w:p>
      <w:r>
        <w:t>TC-05 SGPA/CGPA → matches configured academic rules.</w:t>
      </w:r>
    </w:p>
    <w:p>
      <w:r>
        <w:t>TC-06 Valid professional link → stored/displayed according to visibility.</w:t>
      </w:r>
    </w:p>
    <w:p>
      <w:r>
        <w:t>TC-07 Invalid URL → rejected.</w:t>
      </w:r>
    </w:p>
    <w:p>
      <w:r>
        <w:t>TC-08 Eligibility rule → correct eligible/ineligible result and reason.</w:t>
      </w:r>
    </w:p>
    <w:p>
      <w:r>
        <w:t>TC-09 Ineligible application → blocked.</w:t>
      </w:r>
    </w:p>
    <w:p>
      <w:r>
        <w:t>TC-10 Duplicate application → blocked.</w:t>
      </w:r>
    </w:p>
    <w:p>
      <w:r>
        <w:t>TC-11 Round result update → status and audit log updated.</w:t>
      </w:r>
    </w:p>
    <w:p>
      <w:r>
        <w:t>TC-12 AI unsupported achievement request → no invention.</w:t>
      </w:r>
    </w:p>
    <w:p>
      <w:r>
        <w:t>TC-13 Unreadable resume → safe error.</w:t>
      </w:r>
    </w:p>
    <w:p>
      <w:r>
        <w:t>TC-14 Unauthorized report → denied.</w:t>
      </w:r>
    </w:p>
    <w:p>
      <w:r>
        <w:t>TC-15 Placement totals → reconcile with source data.</w:t>
      </w:r>
    </w:p>
    <w:p>
      <w:r>
        <w:rPr>
          <w:b/>
          <w:sz w:val="24"/>
        </w:rPr>
        <w:t>3. Security Tests</w:t>
      </w:r>
    </w:p>
    <w:p>
      <w:r>
        <w:t>Broken access control, SQL injection, XSS, CSRF where applicable, insecure direct object references, file-upload abuse, rate-limit bypass, token/session misuse and sensitive-data exposure.</w:t>
      </w:r>
    </w:p>
    <w:p>
      <w:r>
        <w:rPr>
          <w:b/>
          <w:sz w:val="24"/>
        </w:rPr>
        <w:t>4. AI Tests</w:t>
      </w:r>
    </w:p>
    <w:p>
      <w:r>
        <w:t>Hallucination, prompt injection, privacy leakage, unsupported recommendations, contradictory profile data, stale data and malicious resume content.</w:t>
      </w:r>
    </w:p>
    <w:p>
      <w:r>
        <w:rPr>
          <w:b/>
          <w:sz w:val="24"/>
        </w:rPr>
        <w:t>5. Performance</w:t>
      </w:r>
    </w:p>
    <w:p>
      <w:r>
        <w:t>Establish load targets after expected student/coordinator counts are finalized. Initial engineering target for normal operations: approximately 2–3 seconds; heavy AI/report jobs should be asynchronous.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