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DATA CLEANING &amp; PREPROCESSING</w:t>
      </w:r>
    </w:p>
    <w:p>
      <w:pPr>
        <w:jc w:val="center"/>
      </w:pPr>
      <w:r>
        <w:rPr>
          <w:b/>
          <w:sz w:val="26"/>
        </w:rPr>
        <w:t>Logistics Data Analyst Internship</w:t>
      </w:r>
    </w:p>
    <w:p>
      <w:pPr>
        <w:jc w:val="center"/>
      </w:pPr>
      <w:r>
        <w:rPr>
          <w:i/>
        </w:rPr>
        <w:t>Public SCMS Delivery History Dataset | Final cleaned dataset: 10,324 records × 38 columns</w:t>
      </w:r>
    </w:p>
    <w:p>
      <w:pPr>
        <w:pStyle w:val="Heading1"/>
      </w:pPr>
      <w:r>
        <w:t>1. Objective</w:t>
      </w:r>
    </w:p>
    <w:p>
      <w:r>
        <w:t>The objective of Week 2 was to transform the raw public logistics dataset into a cleaner, analysis-ready dataset. The work focused on data-quality assessment, missing-value treatment, data-type conversion, text correction, feature engineering, outlier flagging, and validation.</w:t>
      </w:r>
    </w:p>
    <w:p>
      <w:pPr>
        <w:pStyle w:val="Heading1"/>
      </w:pPr>
      <w:r>
        <w:t>2. Dataset Overview</w:t>
      </w:r>
    </w:p>
    <w:p>
      <w:r>
        <w:t>The raw dataset contained 10,324 records and 35 columns covering shipment, delivery, vendor, country, product, quantity, value, weight, freight, and insurance information. The raw file was retained separately so that the preprocessing workflow could be reproduced without overwriting the source.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Raw Dataset</w:t>
            </w:r>
          </w:p>
        </w:tc>
        <w:tc>
          <w:tcPr>
            <w:tcW w:type="dxa" w:w="3312"/>
          </w:tcPr>
          <w:p>
            <w:r>
              <w:t>Final Cleaned Dataset</w:t>
            </w:r>
          </w:p>
        </w:tc>
      </w:tr>
      <w:tr>
        <w:tc>
          <w:tcPr>
            <w:tcW w:type="dxa" w:w="3312"/>
          </w:tcPr>
          <w:p>
            <w:r>
              <w:t>Rows</w:t>
            </w:r>
          </w:p>
        </w:tc>
        <w:tc>
          <w:tcPr>
            <w:tcW w:type="dxa" w:w="3312"/>
          </w:tcPr>
          <w:p>
            <w:r>
              <w:t>10,324</w:t>
            </w:r>
          </w:p>
        </w:tc>
        <w:tc>
          <w:tcPr>
            <w:tcW w:type="dxa" w:w="3312"/>
          </w:tcPr>
          <w:p>
            <w:r>
              <w:t>10,324</w:t>
            </w:r>
          </w:p>
        </w:tc>
      </w:tr>
      <w:tr>
        <w:tc>
          <w:tcPr>
            <w:tcW w:type="dxa" w:w="3312"/>
          </w:tcPr>
          <w:p>
            <w:r>
              <w:t>Columns</w:t>
            </w:r>
          </w:p>
        </w:tc>
        <w:tc>
          <w:tcPr>
            <w:tcW w:type="dxa" w:w="3312"/>
          </w:tcPr>
          <w:p>
            <w:r>
              <w:t>35</w:t>
            </w:r>
          </w:p>
        </w:tc>
        <w:tc>
          <w:tcPr>
            <w:tcW w:type="dxa" w:w="3312"/>
          </w:tcPr>
          <w:p>
            <w:r>
              <w:t>38</w:t>
            </w:r>
          </w:p>
        </w:tc>
      </w:tr>
      <w:tr>
        <w:tc>
          <w:tcPr>
            <w:tcW w:type="dxa" w:w="3312"/>
          </w:tcPr>
          <w:p>
            <w:r>
              <w:t>Duplicate rows</w:t>
            </w:r>
          </w:p>
        </w:tc>
        <w:tc>
          <w:tcPr>
            <w:tcW w:type="dxa" w:w="3312"/>
          </w:tcPr>
          <w:p>
            <w:r>
              <w:t>0</w:t>
            </w:r>
          </w:p>
        </w:tc>
        <w:tc>
          <w:tcPr>
            <w:tcW w:type="dxa" w:w="3312"/>
          </w:tcPr>
          <w:p>
            <w:r>
              <w:t>0</w:t>
            </w:r>
          </w:p>
        </w:tc>
      </w:tr>
      <w:tr>
        <w:tc>
          <w:tcPr>
            <w:tcW w:type="dxa" w:w="3312"/>
          </w:tcPr>
          <w:p>
            <w:r>
              <w:t>Missing Shipment Mode</w:t>
            </w:r>
          </w:p>
        </w:tc>
        <w:tc>
          <w:tcPr>
            <w:tcW w:type="dxa" w:w="3312"/>
          </w:tcPr>
          <w:p>
            <w:r>
              <w:t>360</w:t>
            </w:r>
          </w:p>
        </w:tc>
        <w:tc>
          <w:tcPr>
            <w:tcW w:type="dxa" w:w="3312"/>
          </w:tcPr>
          <w:p>
            <w:r>
              <w:t>0</w:t>
            </w:r>
          </w:p>
        </w:tc>
      </w:tr>
      <w:tr>
        <w:tc>
          <w:tcPr>
            <w:tcW w:type="dxa" w:w="3312"/>
          </w:tcPr>
          <w:p>
            <w:r>
              <w:t>Missing Dosage</w:t>
            </w:r>
          </w:p>
        </w:tc>
        <w:tc>
          <w:tcPr>
            <w:tcW w:type="dxa" w:w="3312"/>
          </w:tcPr>
          <w:p>
            <w:r>
              <w:t>1,736</w:t>
            </w:r>
          </w:p>
        </w:tc>
        <w:tc>
          <w:tcPr>
            <w:tcW w:type="dxa" w:w="3312"/>
          </w:tcPr>
          <w:p>
            <w:r>
              <w:t>0</w:t>
            </w:r>
          </w:p>
        </w:tc>
      </w:tr>
    </w:tbl>
    <w:p>
      <w:pPr>
        <w:pStyle w:val="Heading1"/>
      </w:pPr>
      <w:r>
        <w:t>3. Data Quality Issues Identified</w:t>
      </w:r>
    </w:p>
    <w:p>
      <w:pPr>
        <w:pStyle w:val="ListBullet"/>
      </w:pPr>
      <w:r>
        <w:t>The ID column contained an encoding/BOM artifact in its name and was standardized to 'ID'.</w:t>
      </w:r>
    </w:p>
    <w:p>
      <w:pPr>
        <w:pStyle w:val="ListBullet"/>
      </w:pPr>
      <w:r>
        <w:t>360 records had missing Shipment Mode values.</w:t>
      </w:r>
    </w:p>
    <w:p>
      <w:pPr>
        <w:pStyle w:val="ListBullet"/>
      </w:pPr>
      <w:r>
        <w:t>1,736 records had missing Dosage values.</w:t>
      </w:r>
    </w:p>
    <w:p>
      <w:pPr>
        <w:pStyle w:val="ListBullet"/>
      </w:pPr>
      <w:r>
        <w:t>3,952 records had missing Weight (Kilograms) values.</w:t>
      </w:r>
    </w:p>
    <w:p>
      <w:pPr>
        <w:pStyle w:val="ListBullet"/>
      </w:pPr>
      <w:r>
        <w:t>4,126 records had missing Freight Cost (USD) values.</w:t>
      </w:r>
    </w:p>
    <w:p>
      <w:pPr>
        <w:pStyle w:val="ListBullet"/>
      </w:pPr>
      <w:r>
        <w:t>287 records had missing Line Item Insurance (USD) values.</w:t>
      </w:r>
    </w:p>
    <w:p>
      <w:pPr>
        <w:pStyle w:val="ListBullet"/>
      </w:pPr>
      <w:r>
        <w:t>PQ First Sent to Client Date had 2,681 missing values.</w:t>
      </w:r>
    </w:p>
    <w:p>
      <w:pPr>
        <w:pStyle w:val="ListBullet"/>
      </w:pPr>
      <w:r>
        <w:t>PO Sent to Vendor Date had 5,732 missing values.</w:t>
      </w:r>
    </w:p>
    <w:p>
      <w:pPr>
        <w:pStyle w:val="ListBullet"/>
      </w:pPr>
      <w:r>
        <w:t>No duplicate rows were identified.</w:t>
      </w:r>
    </w:p>
    <w:p>
      <w:pPr>
        <w:pStyle w:val="ListBullet"/>
      </w:pPr>
      <w:r>
        <w:t>A country-name encoding issue was corrected to 'Côte d'Ivoire'.</w:t>
      </w:r>
    </w:p>
    <w:p>
      <w:pPr>
        <w:pStyle w:val="Heading1"/>
      </w:pPr>
      <w:r>
        <w:t>4. Cleaning and Preprocessing Performed</w:t>
      </w:r>
    </w:p>
    <w:p>
      <w:pPr>
        <w:pStyle w:val="ListBullet"/>
      </w:pPr>
      <w:r>
        <w:t>Standardized column names and removed the encoding artifact from the ID column.</w:t>
      </w:r>
    </w:p>
    <w:p>
      <w:pPr>
        <w:pStyle w:val="ListBullet"/>
      </w:pPr>
      <w:r>
        <w:t>Standardized common textual missing-value representations such as blank strings, NA, N/A, NaN and NULL to missing values.</w:t>
      </w:r>
    </w:p>
    <w:p>
      <w:pPr>
        <w:pStyle w:val="ListBullet"/>
      </w:pPr>
      <w:r>
        <w:t>Replaced missing Shipment Mode and Dosage with the explicit category 'Unknown' instead of deleting those records.</w:t>
      </w:r>
    </w:p>
    <w:p>
      <w:pPr>
        <w:pStyle w:val="ListBullet"/>
      </w:pPr>
      <w:r>
        <w:t>Converted relevant quantity, value, price, insurance, weight and freight fields to numeric data types.</w:t>
      </w:r>
    </w:p>
    <w:p>
      <w:pPr>
        <w:pStyle w:val="ListBullet"/>
      </w:pPr>
      <w:r>
        <w:t>Converted relevant scheduling and delivery fields to datetime values during preprocessing.</w:t>
      </w:r>
    </w:p>
    <w:p>
      <w:pPr>
        <w:pStyle w:val="ListBullet"/>
      </w:pPr>
      <w:r>
        <w:t>Created Delivery Delay Days from Delivered to Client Date minus Scheduled Delivery Date.</w:t>
      </w:r>
    </w:p>
    <w:p>
      <w:pPr>
        <w:pStyle w:val="ListBullet"/>
      </w:pPr>
      <w:r>
        <w:t>Created an On Time Delivery classification using a delay of zero days or less as on time.</w:t>
      </w:r>
    </w:p>
    <w:p>
      <w:pPr>
        <w:pStyle w:val="ListBullet"/>
      </w:pPr>
      <w:r>
        <w:t>Calculated Freight Cost per KG where positive shipment weight was available.</w:t>
      </w:r>
    </w:p>
    <w:p>
      <w:pPr>
        <w:pStyle w:val="ListBullet"/>
      </w:pPr>
      <w:r>
        <w:t>Calculated Cost per Unit where Line Item Quantity was greater than zero.</w:t>
      </w:r>
    </w:p>
    <w:p>
      <w:pPr>
        <w:pStyle w:val="ListBullet"/>
      </w:pPr>
      <w:r>
        <w:t>Flagged potential freight-cost outliers using an IQR-based upper-limit rule rather than deleting them.</w:t>
      </w:r>
    </w:p>
    <w:p>
      <w:pPr>
        <w:pStyle w:val="ListBullet"/>
      </w:pPr>
      <w:r>
        <w:t>Removed Load_Date and Source_System because they were populated for only one record and were not useful analytical fields.</w:t>
      </w:r>
    </w:p>
    <w:p>
      <w:pPr>
        <w:pStyle w:val="ListBullet"/>
      </w:pPr>
      <w:r>
        <w:t>Corrected the observed Côte d'Ivoire text-encoding issue.</w:t>
      </w:r>
    </w:p>
    <w:p>
      <w:pPr>
        <w:pStyle w:val="Heading1"/>
      </w:pPr>
      <w:r>
        <w:t>5. Missing-Value Treatment</w:t>
      </w:r>
    </w:p>
    <w:p>
      <w:r>
        <w:t>Missing values were handled according to field type and analytical purpose. Missing categorical values in Shipment Mode and Dosage were explicitly classified as 'Unknown'. Numerical logistics fields such as Weight and Freight Cost were retained as missing when source information was unavailable. This avoids introducing arbitrary values that could distort cost and operational analysis.</w:t>
      </w:r>
    </w:p>
    <w:p>
      <w:pPr>
        <w:pStyle w:val="Heading1"/>
      </w:pPr>
      <w:r>
        <w:t>6. Feature Engineering</w:t>
      </w:r>
    </w:p>
    <w:p>
      <w:pPr>
        <w:pStyle w:val="ListBullet"/>
      </w:pPr>
      <w:r>
        <w:t>Delivery Delay Days = Delivered to Client Date − Scheduled Delivery Date.</w:t>
      </w:r>
    </w:p>
    <w:p>
      <w:pPr>
        <w:pStyle w:val="ListBullet"/>
      </w:pPr>
      <w:r>
        <w:t>On Time Delivery = 'Yes' when Delivery Delay Days is less than or equal to 0; otherwise 'No'.</w:t>
      </w:r>
    </w:p>
    <w:p>
      <w:pPr>
        <w:pStyle w:val="ListBullet"/>
      </w:pPr>
      <w:r>
        <w:t>Freight Cost per KG = Freight Cost (USD) ÷ Weight (Kilograms), calculated where positive weight was available.</w:t>
      </w:r>
    </w:p>
    <w:p>
      <w:pPr>
        <w:pStyle w:val="ListBullet"/>
      </w:pPr>
      <w:r>
        <w:t>Cost per Unit = Line Item Value ÷ Line Item Quantity, calculated where quantity was greater than 0.</w:t>
      </w:r>
    </w:p>
    <w:p>
      <w:pPr>
        <w:pStyle w:val="ListBullet"/>
      </w:pPr>
      <w:r>
        <w:t>Freight Cost Outlier was created using an IQR-based upper-limit rule.</w:t>
      </w:r>
    </w:p>
    <w:p>
      <w:pPr>
        <w:pStyle w:val="Heading1"/>
      </w:pPr>
      <w:r>
        <w:t>7. Final Freight Outlier Classification</w:t>
      </w:r>
    </w:p>
    <w:p>
      <w:r>
        <w:t>The final Freight Cost Outlier field uses three categories so that missing information is not incorrectly classified as normal.</w:t>
      </w:r>
    </w:p>
    <w:tbl>
      <w:tblPr>
        <w:tblStyle w:val="TableGrid"/>
        <w:tblW w:type="auto" w:w="0"/>
        <w:jc w:val="center"/>
        <w:tblLook w:firstColumn="1" w:firstRow="1" w:lastColumn="0" w:lastRow="0" w:noHBand="0" w:noVBand="1" w:val="04A0"/>
      </w:tblPr>
      <w:tblGrid>
        <w:gridCol w:w="4968"/>
        <w:gridCol w:w="4968"/>
      </w:tblGrid>
      <w:tr>
        <w:tc>
          <w:tcPr>
            <w:tcW w:type="dxa" w:w="4968"/>
          </w:tcPr>
          <w:p>
            <w:r>
              <w:t>Classification</w:t>
            </w:r>
          </w:p>
        </w:tc>
        <w:tc>
          <w:tcPr>
            <w:tcW w:type="dxa" w:w="4968"/>
          </w:tcPr>
          <w:p>
            <w:r>
              <w:t>Final records</w:t>
            </w:r>
          </w:p>
        </w:tc>
      </w:tr>
      <w:tr>
        <w:tc>
          <w:tcPr>
            <w:tcW w:type="dxa" w:w="4968"/>
          </w:tcPr>
          <w:p>
            <w:r>
              <w:t>Normal</w:t>
            </w:r>
          </w:p>
        </w:tc>
        <w:tc>
          <w:tcPr>
            <w:tcW w:type="dxa" w:w="4968"/>
          </w:tcPr>
          <w:p>
            <w:r>
              <w:t>5,577</w:t>
            </w:r>
          </w:p>
        </w:tc>
      </w:tr>
      <w:tr>
        <w:tc>
          <w:tcPr>
            <w:tcW w:type="dxa" w:w="4968"/>
          </w:tcPr>
          <w:p>
            <w:r>
              <w:t>Potential Outlier</w:t>
            </w:r>
          </w:p>
        </w:tc>
        <w:tc>
          <w:tcPr>
            <w:tcW w:type="dxa" w:w="4968"/>
          </w:tcPr>
          <w:p>
            <w:r>
              <w:t>597</w:t>
            </w:r>
          </w:p>
        </w:tc>
      </w:tr>
      <w:tr>
        <w:tc>
          <w:tcPr>
            <w:tcW w:type="dxa" w:w="4968"/>
          </w:tcPr>
          <w:p>
            <w:r>
              <w:t>Not Available</w:t>
            </w:r>
          </w:p>
        </w:tc>
        <w:tc>
          <w:tcPr>
            <w:tcW w:type="dxa" w:w="4968"/>
          </w:tcPr>
          <w:p>
            <w:r>
              <w:t>4,150</w:t>
            </w:r>
          </w:p>
        </w:tc>
      </w:tr>
    </w:tbl>
    <w:p>
      <w:r>
        <w:t>Potential outliers were flagged rather than removed because an extreme freight-cost-per-kilogram value does not by itself prove that a shipment record is erroneous.</w:t>
      </w:r>
    </w:p>
    <w:p>
      <w:pPr>
        <w:pStyle w:val="Heading1"/>
      </w:pPr>
      <w:r>
        <w:t>8. Data Validation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Validation Check</w:t>
            </w:r>
          </w:p>
        </w:tc>
        <w:tc>
          <w:tcPr>
            <w:tcW w:type="dxa" w:w="4968"/>
          </w:tcPr>
          <w:p>
            <w:r>
              <w:t>Result</w:t>
            </w:r>
          </w:p>
        </w:tc>
      </w:tr>
      <w:tr>
        <w:tc>
          <w:tcPr>
            <w:tcW w:type="dxa" w:w="4968"/>
          </w:tcPr>
          <w:p>
            <w:r>
              <w:t>Final dataset size</w:t>
            </w:r>
          </w:p>
        </w:tc>
        <w:tc>
          <w:tcPr>
            <w:tcW w:type="dxa" w:w="4968"/>
          </w:tcPr>
          <w:p>
            <w:r>
              <w:t>10,324 rows × 38 columns</w:t>
            </w:r>
          </w:p>
        </w:tc>
      </w:tr>
      <w:tr>
        <w:tc>
          <w:tcPr>
            <w:tcW w:type="dxa" w:w="4968"/>
          </w:tcPr>
          <w:p>
            <w:r>
              <w:t>Duplicate rows</w:t>
            </w:r>
          </w:p>
        </w:tc>
        <w:tc>
          <w:tcPr>
            <w:tcW w:type="dxa" w:w="4968"/>
          </w:tcPr>
          <w:p>
            <w:r>
              <w:t>0</w:t>
            </w:r>
          </w:p>
        </w:tc>
      </w:tr>
      <w:tr>
        <w:tc>
          <w:tcPr>
            <w:tcW w:type="dxa" w:w="4968"/>
          </w:tcPr>
          <w:p>
            <w:r>
              <w:t>On-time shipments</w:t>
            </w:r>
          </w:p>
        </w:tc>
        <w:tc>
          <w:tcPr>
            <w:tcW w:type="dxa" w:w="4968"/>
          </w:tcPr>
          <w:p>
            <w:r>
              <w:t>9,138 (88.51%)</w:t>
            </w:r>
          </w:p>
        </w:tc>
      </w:tr>
      <w:tr>
        <w:tc>
          <w:tcPr>
            <w:tcW w:type="dxa" w:w="4968"/>
          </w:tcPr>
          <w:p>
            <w:r>
              <w:t>Delayed shipments</w:t>
            </w:r>
          </w:p>
        </w:tc>
        <w:tc>
          <w:tcPr>
            <w:tcW w:type="dxa" w:w="4968"/>
          </w:tcPr>
          <w:p>
            <w:r>
              <w:t>1,186 (11.49%)</w:t>
            </w:r>
          </w:p>
        </w:tc>
      </w:tr>
      <w:tr>
        <w:tc>
          <w:tcPr>
            <w:tcW w:type="dxa" w:w="4968"/>
          </w:tcPr>
          <w:p>
            <w:r>
              <w:t>Average delivery delay</w:t>
            </w:r>
          </w:p>
        </w:tc>
        <w:tc>
          <w:tcPr>
            <w:tcW w:type="dxa" w:w="4968"/>
          </w:tcPr>
          <w:p>
            <w:r>
              <w:t>-6.02 days</w:t>
            </w:r>
          </w:p>
        </w:tc>
      </w:tr>
      <w:tr>
        <w:tc>
          <w:tcPr>
            <w:tcW w:type="dxa" w:w="4968"/>
          </w:tcPr>
          <w:p>
            <w:r>
              <w:t>Minimum delivery delay</w:t>
            </w:r>
          </w:p>
        </w:tc>
        <w:tc>
          <w:tcPr>
            <w:tcW w:type="dxa" w:w="4968"/>
          </w:tcPr>
          <w:p>
            <w:r>
              <w:t>-372 days</w:t>
            </w:r>
          </w:p>
        </w:tc>
      </w:tr>
      <w:tr>
        <w:tc>
          <w:tcPr>
            <w:tcW w:type="dxa" w:w="4968"/>
          </w:tcPr>
          <w:p>
            <w:r>
              <w:t>Maximum delivery delay</w:t>
            </w:r>
          </w:p>
        </w:tc>
        <w:tc>
          <w:tcPr>
            <w:tcW w:type="dxa" w:w="4968"/>
          </w:tcPr>
          <w:p>
            <w:r>
              <w:t>192 days</w:t>
            </w:r>
          </w:p>
        </w:tc>
      </w:tr>
      <w:tr>
        <w:tc>
          <w:tcPr>
            <w:tcW w:type="dxa" w:w="4968"/>
          </w:tcPr>
          <w:p>
            <w:r>
              <w:t>Freight Cost per KG observations</w:t>
            </w:r>
          </w:p>
        </w:tc>
        <w:tc>
          <w:tcPr>
            <w:tcW w:type="dxa" w:w="4968"/>
          </w:tcPr>
          <w:p>
            <w:r>
              <w:t>6,174</w:t>
            </w:r>
          </w:p>
        </w:tc>
      </w:tr>
      <w:tr>
        <w:tc>
          <w:tcPr>
            <w:tcW w:type="dxa" w:w="4968"/>
          </w:tcPr>
          <w:p>
            <w:r>
              <w:t>Maximum Freight Cost per KG</w:t>
            </w:r>
          </w:p>
        </w:tc>
        <w:tc>
          <w:tcPr>
            <w:tcW w:type="dxa" w:w="4968"/>
          </w:tcPr>
          <w:p>
            <w:r>
              <w:t>$31,087.71/kg</w:t>
            </w:r>
          </w:p>
        </w:tc>
      </w:tr>
      <w:tr>
        <w:tc>
          <w:tcPr>
            <w:tcW w:type="dxa" w:w="4968"/>
          </w:tcPr>
          <w:p>
            <w:r>
              <w:t>Maximum Cost per Unit</w:t>
            </w:r>
          </w:p>
        </w:tc>
        <w:tc>
          <w:tcPr>
            <w:tcW w:type="dxa" w:w="4968"/>
          </w:tcPr>
          <w:p>
            <w:r>
              <w:t>$1,345.64</w:t>
            </w:r>
          </w:p>
        </w:tc>
      </w:tr>
      <w:tr>
        <w:tc>
          <w:tcPr>
            <w:tcW w:type="dxa" w:w="4968"/>
          </w:tcPr>
          <w:p>
            <w:r>
              <w:t>Freight Cost Outlier missing values</w:t>
            </w:r>
          </w:p>
        </w:tc>
        <w:tc>
          <w:tcPr>
            <w:tcW w:type="dxa" w:w="4968"/>
          </w:tcPr>
          <w:p>
            <w:r>
              <w:t>0</w:t>
            </w:r>
          </w:p>
        </w:tc>
      </w:tr>
    </w:tbl>
    <w:p>
      <w:pPr>
        <w:pStyle w:val="Heading1"/>
      </w:pPr>
      <w:r>
        <w:t>9. Analytical Quality Findings</w:t>
      </w:r>
    </w:p>
    <w:p>
      <w:r>
        <w:t>The delivery-delay distribution had a median of 0 days and an average of -6.02 days. The maximum observed delay was 192 days, indicating that a smaller group of shipments experienced substantial delays despite the overall on-time delivery rate of 88.51%.</w:t>
      </w:r>
    </w:p>
    <w:p>
      <w:r>
        <w:t>Shipment-mode analysis showed observed on-time rates of 90.40% for Air, 88.46% for Air Charter, 83.92% for Truck, and 82.48% for Ocean. The 360 records originally missing shipment mode were classified as Unknown. The Unknown category should not be interpreted as evidence that the mode itself is superior because it represents missing source information.</w:t>
      </w:r>
    </w:p>
    <w:p>
      <w:r>
        <w:t>The highest calculated Freight Cost per KG was $31,087.71/kg. Such extreme ratios can occur when shipment weight is very low relative to freight cost, so these observations were flagged for further investigation instead of being automatically removed.</w:t>
      </w:r>
    </w:p>
    <w:p>
      <w:pPr>
        <w:pStyle w:val="Heading1"/>
      </w:pPr>
      <w:r>
        <w:t>10. Remaining Source-Data Missingness</w:t>
      </w:r>
    </w:p>
    <w:tbl>
      <w:tblPr>
        <w:tblStyle w:val="TableGrid"/>
        <w:tblW w:type="auto" w:w="0"/>
        <w:jc w:val="center"/>
        <w:tblLook w:firstColumn="1" w:firstRow="1" w:lastColumn="0" w:lastRow="0" w:noHBand="0" w:noVBand="1" w:val="04A0"/>
      </w:tblPr>
      <w:tblGrid>
        <w:gridCol w:w="4968"/>
        <w:gridCol w:w="4968"/>
      </w:tblGrid>
      <w:tr>
        <w:tc>
          <w:tcPr>
            <w:tcW w:type="dxa" w:w="4968"/>
          </w:tcPr>
          <w:p>
            <w:r>
              <w:t>Column</w:t>
            </w:r>
          </w:p>
        </w:tc>
        <w:tc>
          <w:tcPr>
            <w:tcW w:type="dxa" w:w="4968"/>
          </w:tcPr>
          <w:p>
            <w:r>
              <w:t>Missing Records</w:t>
            </w:r>
          </w:p>
        </w:tc>
      </w:tr>
      <w:tr>
        <w:tc>
          <w:tcPr>
            <w:tcW w:type="dxa" w:w="4968"/>
          </w:tcPr>
          <w:p>
            <w:r>
              <w:t>PO Sent to Vendor Date</w:t>
            </w:r>
          </w:p>
        </w:tc>
        <w:tc>
          <w:tcPr>
            <w:tcW w:type="dxa" w:w="4968"/>
          </w:tcPr>
          <w:p>
            <w:r>
              <w:t>5,732</w:t>
            </w:r>
          </w:p>
        </w:tc>
      </w:tr>
      <w:tr>
        <w:tc>
          <w:tcPr>
            <w:tcW w:type="dxa" w:w="4968"/>
          </w:tcPr>
          <w:p>
            <w:r>
              <w:t>Weight (Kilograms)</w:t>
            </w:r>
          </w:p>
        </w:tc>
        <w:tc>
          <w:tcPr>
            <w:tcW w:type="dxa" w:w="4968"/>
          </w:tcPr>
          <w:p>
            <w:r>
              <w:t>3,952</w:t>
            </w:r>
          </w:p>
        </w:tc>
      </w:tr>
      <w:tr>
        <w:tc>
          <w:tcPr>
            <w:tcW w:type="dxa" w:w="4968"/>
          </w:tcPr>
          <w:p>
            <w:r>
              <w:t>Freight Cost (USD)</w:t>
            </w:r>
          </w:p>
        </w:tc>
        <w:tc>
          <w:tcPr>
            <w:tcW w:type="dxa" w:w="4968"/>
          </w:tcPr>
          <w:p>
            <w:r>
              <w:t>4,126</w:t>
            </w:r>
          </w:p>
        </w:tc>
      </w:tr>
      <w:tr>
        <w:tc>
          <w:tcPr>
            <w:tcW w:type="dxa" w:w="4968"/>
          </w:tcPr>
          <w:p>
            <w:r>
              <w:t>PQ First Sent to Client Date</w:t>
            </w:r>
          </w:p>
        </w:tc>
        <w:tc>
          <w:tcPr>
            <w:tcW w:type="dxa" w:w="4968"/>
          </w:tcPr>
          <w:p>
            <w:r>
              <w:t>2,681</w:t>
            </w:r>
          </w:p>
        </w:tc>
      </w:tr>
      <w:tr>
        <w:tc>
          <w:tcPr>
            <w:tcW w:type="dxa" w:w="4968"/>
          </w:tcPr>
          <w:p>
            <w:r>
              <w:t>Freight Cost per KG</w:t>
            </w:r>
          </w:p>
        </w:tc>
        <w:tc>
          <w:tcPr>
            <w:tcW w:type="dxa" w:w="4968"/>
          </w:tcPr>
          <w:p>
            <w:r>
              <w:t>4,150</w:t>
            </w:r>
          </w:p>
        </w:tc>
      </w:tr>
      <w:tr>
        <w:tc>
          <w:tcPr>
            <w:tcW w:type="dxa" w:w="4968"/>
          </w:tcPr>
          <w:p>
            <w:r>
              <w:t>Line Item Insurance (USD)</w:t>
            </w:r>
          </w:p>
        </w:tc>
        <w:tc>
          <w:tcPr>
            <w:tcW w:type="dxa" w:w="4968"/>
          </w:tcPr>
          <w:p>
            <w:r>
              <w:t>287</w:t>
            </w:r>
          </w:p>
        </w:tc>
      </w:tr>
    </w:tbl>
    <w:p>
      <w:r>
        <w:t>These remaining missing values were not blindly imputed. They represent unavailable source information and should be considered during later analysis.</w:t>
      </w:r>
    </w:p>
    <w:p>
      <w:pPr>
        <w:pStyle w:val="Heading1"/>
      </w:pPr>
      <w:r>
        <w:t>11. Data Quality Decisions</w:t>
      </w:r>
    </w:p>
    <w:p>
      <w:pPr>
        <w:pStyle w:val="ListBullet"/>
      </w:pPr>
      <w:r>
        <w:t>Categorical missing values were handled with an explicit 'Unknown' category where appropriate.</w:t>
      </w:r>
    </w:p>
    <w:p>
      <w:pPr>
        <w:pStyle w:val="ListBullet"/>
      </w:pPr>
      <w:r>
        <w:t>Missing numerical logistics fields were retained as missing rather than replaced with arbitrary values.</w:t>
      </w:r>
    </w:p>
    <w:p>
      <w:pPr>
        <w:pStyle w:val="ListBullet"/>
      </w:pPr>
      <w:r>
        <w:t>Potential outliers were flagged for investigation rather than removed.</w:t>
      </w:r>
    </w:p>
    <w:p>
      <w:pPr>
        <w:pStyle w:val="ListBullet"/>
      </w:pPr>
      <w:r>
        <w:t>Zero-value observations were retained for further investigation because they may represent valid business cases or data-entry issues.</w:t>
      </w:r>
    </w:p>
    <w:p>
      <w:pPr>
        <w:pStyle w:val="ListBullet"/>
      </w:pPr>
      <w:r>
        <w:t>No duplicate records were removed because the duplicate check returned zero.</w:t>
      </w:r>
    </w:p>
    <w:p>
      <w:pPr>
        <w:pStyle w:val="Heading1"/>
      </w:pPr>
      <w:r>
        <w:t>12. Output Files</w:t>
      </w:r>
    </w:p>
    <w:p>
      <w:pPr>
        <w:pStyle w:val="ListBullet"/>
      </w:pPr>
      <w:r>
        <w:t>Raw dataset: data/SCMS_Delivery_History_Raw_Data.xlsx</w:t>
      </w:r>
    </w:p>
    <w:p>
      <w:pPr>
        <w:pStyle w:val="ListBullet"/>
      </w:pPr>
      <w:r>
        <w:t>Cleaned dataset: data/SCMS_Delivery_History_Cleaned.csv</w:t>
      </w:r>
    </w:p>
    <w:p>
      <w:pPr>
        <w:pStyle w:val="ListBullet"/>
      </w:pPr>
      <w:r>
        <w:t>Cleaning script: scripts/data_cleaning.py</w:t>
      </w:r>
    </w:p>
    <w:p>
      <w:pPr>
        <w:pStyle w:val="ListBullet"/>
      </w:pPr>
      <w:r>
        <w:t>Validation script: scripts/validate_cleaned_data.py</w:t>
      </w:r>
    </w:p>
    <w:p>
      <w:pPr>
        <w:pStyle w:val="ListBullet"/>
      </w:pPr>
      <w:r>
        <w:t>Quality analysis script: scripts/quality_analysis.py</w:t>
      </w:r>
    </w:p>
    <w:p>
      <w:pPr>
        <w:pStyle w:val="Heading1"/>
      </w:pPr>
      <w:r>
        <w:t>13. Conclusion</w:t>
      </w:r>
    </w:p>
    <w:p>
      <w:r>
        <w:t>Week 2 converted the raw public logistics dataset into an analysis-ready version while preserving the original records. The preprocessing workflow standardized fields, handled selected categorical missing values, converted data types, corrected an encoding issue, created delivery and cost metrics, and flagged potential freight-cost outliers. Final validation confirmed 10,324 records, 38 analytical columns, zero duplicate rows, and zero missing values in the Freight Cost Outlier classification. The cleaned dataset is ready for deeper logistics performance analysis, visualization, and dashboard development.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Data Analyst Internship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