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color w:val="7f7f7f"/>
          <w:sz w:val="20"/>
          <w:szCs w:val="20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Becky Roselius Haney, Ph.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520"/>
        </w:tabs>
        <w:spacing w:after="0" w:before="0" w:line="240" w:lineRule="auto"/>
        <w:ind w:left="-6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i w:val="1"/>
          <w:color w:val="7f7f7f"/>
          <w:sz w:val="20"/>
          <w:szCs w:val="20"/>
          <w:vertAlign w:val="baseline"/>
          <w:rtl w:val="0"/>
        </w:rPr>
        <w:t xml:space="preserve">Assistant Professor Department of Economics </w:t>
      </w:r>
      <w:r w:rsidDel="00000000" w:rsidR="00000000" w:rsidRPr="00000000">
        <w:rPr>
          <w:rFonts w:ascii="Arial" w:cs="Arial" w:eastAsia="Arial" w:hAnsi="Arial"/>
          <w:b w:val="1"/>
          <w:i w:val="1"/>
          <w:color w:val="7f7f7f"/>
          <w:sz w:val="20"/>
          <w:szCs w:val="20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i w:val="1"/>
          <w:color w:val="7f7f7f"/>
          <w:sz w:val="20"/>
          <w:szCs w:val="20"/>
          <w:vertAlign w:val="baseline"/>
          <w:rtl w:val="0"/>
        </w:rPr>
        <w:t xml:space="preserve"> Calvin College </w:t>
      </w:r>
      <w:r w:rsidDel="00000000" w:rsidR="00000000" w:rsidRPr="00000000">
        <w:rPr>
          <w:rFonts w:ascii="Arial" w:cs="Arial" w:eastAsia="Arial" w:hAnsi="Arial"/>
          <w:b w:val="1"/>
          <w:i w:val="1"/>
          <w:color w:val="7f7f7f"/>
          <w:sz w:val="20"/>
          <w:szCs w:val="20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i w:val="1"/>
          <w:color w:val="7f7f7f"/>
          <w:sz w:val="20"/>
          <w:szCs w:val="20"/>
          <w:vertAlign w:val="baseline"/>
          <w:rtl w:val="0"/>
        </w:rPr>
        <w:t xml:space="preserve">   (616) 526-6338 </w:t>
      </w:r>
      <w:r w:rsidDel="00000000" w:rsidR="00000000" w:rsidRPr="00000000">
        <w:rPr>
          <w:rFonts w:ascii="Arial" w:cs="Arial" w:eastAsia="Arial" w:hAnsi="Arial"/>
          <w:b w:val="1"/>
          <w:i w:val="1"/>
          <w:color w:val="7f7f7f"/>
          <w:sz w:val="20"/>
          <w:szCs w:val="20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i w:val="1"/>
          <w:color w:val="7f7f7f"/>
          <w:sz w:val="20"/>
          <w:szCs w:val="20"/>
          <w:vertAlign w:val="baseline"/>
          <w:rtl w:val="0"/>
        </w:rPr>
        <w:t xml:space="preserve">  bhaney@calvin.edu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Professional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Research: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Sustainability; Natural Resources and Env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ironmental Accounting; Agent-Based Modeling; Clergy Labor Markets; Program Evaluation Methodology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Teaching: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Environmental &amp; Sustainability Economics; Urban Growth &amp; Development; Labor Economics; Statistics; Quantitative Methods; Econometrics; Operations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ind w:left="450" w:hanging="40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Ph.D.</w:t>
        <w:tab/>
        <w:t xml:space="preserve">Economics, University of Chicago, Chicago, IL, 1996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M.Div.</w:t>
        <w:tab/>
        <w:t xml:space="preserve">The Divinity School at Duke University, Durham, NC, 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M.P.P.  </w:t>
        <w:tab/>
        <w:t xml:space="preserve">The University of Chicago, Chicago, IL, 1992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B.B.A.  </w:t>
        <w:tab/>
        <w:t xml:space="preserve">Baylor University, Waco, TX, Computer Information Systems, 1985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Academic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right" w:pos="9900"/>
          <w:tab w:val="left" w:pos="1008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2008 – Present Assistant Professor of Economics, Calvin College. Grand Rapids, 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right" w:pos="9900"/>
          <w:tab w:val="left" w:pos="1008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2004 – 2008 </w:t>
        <w:tab/>
        <w:t xml:space="preserve">Visiting Assistant Professor of Economics, Meinders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Graduate School of Business,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Oklahoma City University. Oklahoma City, OK.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right" w:pos="9900"/>
          <w:tab w:val="left" w:pos="1008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2004 – 2005</w:t>
        <w:tab/>
        <w:t xml:space="preserve">Adjunct Professor of Economics, University of Central Oklahoma.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Edmond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OK.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right" w:pos="9900"/>
          <w:tab w:val="left" w:pos="1143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2001 – 2003</w:t>
        <w:tab/>
        <w:t xml:space="preserve">Associate Director,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Pulpit &amp; Pew: Research on Pastoral Leadership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The Divinity School at Duke University. Durham, NC.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right" w:pos="9900"/>
          <w:tab w:val="left" w:pos="1008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1996 – 1998</w:t>
        <w:tab/>
        <w:t xml:space="preserve">Assistant Professor of Economics, The Sanford School of Public Policy, Duke University. Durham, NC.   </w:t>
      </w:r>
    </w:p>
    <w:p w:rsidR="00000000" w:rsidDel="00000000" w:rsidP="00000000" w:rsidRDefault="00000000" w:rsidRPr="00000000">
      <w:pPr>
        <w:tabs>
          <w:tab w:val="left" w:pos="1440"/>
          <w:tab w:val="right" w:pos="9900"/>
          <w:tab w:val="left" w:pos="1008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00"/>
          <w:tab w:val="left" w:pos="10080"/>
        </w:tabs>
        <w:spacing w:after="0" w:before="0" w:line="240" w:lineRule="auto"/>
        <w:ind w:left="-63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Non-Academic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2003 – 2007</w:t>
        <w:tab/>
        <w:t xml:space="preserve">Pastor, Nagawee United Methodist Church. Shawnee,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1988 –1989</w:t>
        <w:tab/>
        <w:t xml:space="preserve">Manager, Andersen Consulting. Houston, TX; Anchorage, 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1987 –1988</w:t>
        <w:tab/>
        <w:t xml:space="preserve">Database Designer, Andersen Consulting. Houston, TX.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ind w:left="1440" w:hanging="1391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1985 –1987</w:t>
        <w:tab/>
        <w:t xml:space="preserve">Programmer, Andersen Consulting. 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0"/>
        </w:tabs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Heun, M. K., Carbajales-Dale, M., and Haney, B. Roselius (2015).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Beyond GDP: National accounting in the age of resource depletion.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Springer, 2015.</w:t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Haney, B. Roselius. (2012) Review of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Work: A Kingdom Perspective on Labor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by Ben Witherington,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Faith &amp; Economics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60 (Fall 2012), 83-88.</w:t>
      </w:r>
    </w:p>
    <w:p w:rsidR="00000000" w:rsidDel="00000000" w:rsidP="00000000" w:rsidRDefault="00000000" w:rsidRPr="00000000">
      <w:pPr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Haney, B. Roselius. (2012) Review of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Taking Your Soul to Work: Overcoming the Nine Deadly Sins of the Workplace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by R. Paul Stevens and Alvin Ung,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Faith &amp; Economics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60 (Fall 2012), 88-90.</w:t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Haney, B. Roselius (2008) "The Relationship Between Labor Market Structure and Clergy Compensation in Protestant Denominations,"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Atlantic Economic Journal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36 (Fall 2008):65-75.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Roselius, B. L. (1996).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Dissertation: Non-Experimental Social Program Evaluation: New Evidence on What Works, What Doesn't and Why.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Chicago, IL: University of Chicago.</w:t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Heckman, J. J., Roselius, B. L., &amp; Smith, J. A. (1994). “U.S. Education and Training Policy: A Re-evaluation of the Underlying Assumptions Behind the ‘New Consensus,’” in L. C. Solmon and  A. R. Levenson (Eds.),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Labor Markets, Employment Policy, &amp; Job Creation;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Boulder, CO: Westview Press.</w:t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Working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Haney, B. Roselius, L. Haarsma, &amp; A. J. Ditta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'13,Econ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). (201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). “Income, Inequality &amp; Technology: What Can Agent-based Models Tell Us?” Under review at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Journal for Artificial Societies and Social Simulations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Haney, B. Roselius (2010). “Globalization from an Evolutionary Perspective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” Calvin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Presentation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Haney, B. Roselius (2015). "Modeling Economies in Context: 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xploring the Potential of Agent-based Modeling in Ecological Economics, Presentation at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Canada and United States Society for Ecological Economics Annual Meetings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Vancouver, British Columbia.</w:t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Haney, B. Roselius,(2013) “Income, Inequality &amp; Technology: What Can Agent-based Models Tell Us?” Presentation at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Southern Economic Association Meetings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Tampa, FL.</w:t>
      </w:r>
    </w:p>
    <w:p w:rsidR="00000000" w:rsidDel="00000000" w:rsidP="00000000" w:rsidRDefault="00000000" w:rsidRPr="00000000">
      <w:pPr>
        <w:ind w:lef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Haney, B. Roselius (2007). "Effects of Structural Adjustment Policies on the Education Sector of Developing Countries." presented at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Southern Economic Association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Meetings, November, 2007, New Orleans, LA.</w:t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Haney, B. Roselius and P. G. Busey (2007).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Sovereignty: Emerging Opportunities for Native American Tribes and Rural Economic Development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3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Annual Business and Leadership Symposium, Fort Hays State University, Fort Hays, 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Carroll, J. W. &amp; McMillan, B. Roselius (2003).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The Terms of Endearment: Context, Culture, and Clergy Satisfaction.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Society for the Scientific Study of Religion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Annual Meetings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Richmond, 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Roselius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B. (2002).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At Cross Purposes? Clergy Salaries: Market and Mission.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Society for the Scientific Study of Religion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Annual Meetings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Roselius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B. (2002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 Finding the Invisible Conflict: Perceptions from the Pulpit and Pew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Society for the Scientific Study of Religion Annual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Carroll, J. W. &amp;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Roselius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B. (2001).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First Findings from a National Survey of Pastoral Leaders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Society for the Scientific Study of Religion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Annual Meetings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hanging="72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Price, M. J. &amp;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Roselius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B. (2001)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Dollars and Sins: Research on Clergy Compensation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Society for the Scientific Study of Religion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Annual Meetings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-61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Research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Roselius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B. &amp; Price, M. J.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(2003)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"How Much Should We Pay the Pastor?: A Fresh Look at Clergy Salaries in the 21st Century."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Pulpit &amp; Pew: Research on Pastoral Leadership Report Series.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Roselius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B. (2003).  "The View from Pulpit &amp; Pew: Provocative Findings on Pastoral Leadership in the 21st Century."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Pulpit &amp; Pew: Research on Pastoral Leadership Report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Roselius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B. (2003). "What Do Clergy Do All Week."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Pulpit &amp; Pew: Research on Pastoral Leadership Report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12" w:hanging="563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Roselius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B. (2001).  "At Cross Purposes? Clergy Salaries: Market and Mission."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Pulpit &amp; Pew: Research on Pastoral Leadership Report Series.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ind w:left="0" w:firstLine="0"/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i w:val="1"/>
        <w:color w:val="808080"/>
        <w:sz w:val="16"/>
        <w:szCs w:val="16"/>
        <w:vertAlign w:val="baseline"/>
        <w:rtl w:val="0"/>
      </w:rPr>
      <w:t xml:space="preserve">B. Roselius Haney, C.V. Fall 2015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  <w:rtl w:val="0"/>
      </w:rPr>
      <w:tab/>
      <w:tab/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ind w:left="0" w:firstLine="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