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F172A"/>
          <w:sz w:val="26"/>
        </w:rPr>
        <w:t>ECONOMETRIC RESEARCH BRIEF: RURAL–URBAN INFLATION PASS-THROUGH IN INDIA (2014–2025)</w:t>
      </w:r>
    </w:p>
    <w:p>
      <w:pPr>
        <w:spacing w:after="80"/>
        <w:jc w:val="center"/>
      </w:pPr>
      <w:r>
        <w:rPr>
          <w:rFonts w:ascii="Arial" w:hAnsi="Arial"/>
          <w:color w:val="475569"/>
          <w:sz w:val="17"/>
        </w:rPr>
        <w:t>Gokhale Institute of Politics and Economics (GIPE) | MoSPI CPI Base 2012=100 (N = 142) | OLS with Newey-West HAC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36620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ral_urban_ols_parity_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66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4748B"/>
          <w:sz w:val="15"/>
        </w:rPr>
        <w:t>Figure 1: Bivariate OLS Fit (π̂_Rural = -0.2759 + 1.0813 π_Urban) vs. 45° Parity Line with 95% Confidence Band.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1E3A8A"/>
          </w:tcPr>
          <w:p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1800"/>
            <w:shd w:fill="1E3A8A"/>
          </w:tcPr>
          <w:p>
            <w:r>
              <w:rPr>
                <w:b/>
                <w:color w:val="FFFFFF"/>
                <w:sz w:val="16"/>
              </w:rPr>
              <w:t>OLS Coef</w:t>
            </w:r>
          </w:p>
        </w:tc>
        <w:tc>
          <w:tcPr>
            <w:tcW w:type="dxa" w:w="1800"/>
            <w:shd w:fill="1E3A8A"/>
          </w:tcPr>
          <w:p>
            <w:r>
              <w:rPr>
                <w:b/>
                <w:color w:val="FFFFFF"/>
                <w:sz w:val="16"/>
              </w:rPr>
              <w:t>OLS SE</w:t>
            </w:r>
          </w:p>
        </w:tc>
        <w:tc>
          <w:tcPr>
            <w:tcW w:type="dxa" w:w="1800"/>
            <w:shd w:fill="1E3A8A"/>
          </w:tcPr>
          <w:p>
            <w:r>
              <w:rPr>
                <w:b/>
                <w:color w:val="FFFFFF"/>
                <w:sz w:val="16"/>
              </w:rPr>
              <w:t>HAC SE (L=4)</w:t>
            </w:r>
          </w:p>
        </w:tc>
        <w:tc>
          <w:tcPr>
            <w:tcW w:type="dxa" w:w="1800"/>
            <w:shd w:fill="1E3A8A"/>
          </w:tcPr>
          <w:p>
            <w:r>
              <w:rPr>
                <w:b/>
                <w:color w:val="FFFFFF"/>
                <w:sz w:val="16"/>
              </w:rPr>
              <w:t>HAC z</w:t>
            </w:r>
          </w:p>
        </w:tc>
        <w:tc>
          <w:tcPr>
            <w:tcW w:type="dxa" w:w="1800"/>
            <w:shd w:fill="1E3A8A"/>
          </w:tcPr>
          <w:p>
            <w:r>
              <w:rPr>
                <w:b/>
                <w:color w:val="FFFFFF"/>
                <w:sz w:val="16"/>
              </w:rPr>
              <w:t>p-value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Urban Inflation (β)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1.0813***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0.0549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0.0751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14.40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&lt; 0.0001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Intercept (α)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-0.2759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0.2776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0.4711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-0.59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0.3219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R-squared: 0.7349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Adj R²: 0.7330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F: 388.1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p: &lt; 10^-41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DW: 0.1852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N = 142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45° Parity Wald F: 2.046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df: (2, 140)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p-val: 0.1331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Decision: Fail to Reject H0 at 5% level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sz w:val="15"/>
              </w:rPr>
            </w:r>
          </w:p>
        </w:tc>
      </w:tr>
    </w:tbl>
    <w:p>
      <w:pPr>
        <w:spacing w:before="120"/>
      </w:pPr>
      <w:r>
        <w:rPr>
          <w:b/>
          <w:color w:val="B91C1C"/>
          <w:sz w:val="17"/>
        </w:rPr>
        <w:t xml:space="preserve">Summary Takeaway: </w:t>
      </w:r>
      <w:r>
        <w:rPr>
          <w:color w:val="1E293B"/>
          <w:sz w:val="16"/>
        </w:rPr>
        <w:t>(1) Pass-through elasticity β̂ = 1.0813 (p &lt; 0.0001, HAC z = 14.40) explains 73.5% of rural inflation variance. (2) Joint Wald test fails to reject 45° parity [F(2,140) = 2.046, p = 0.1331], confirming long-run spatial co-movement with slight rural amplification. (3) Driven by food's 54.18% rural weight vs. 36.29% urban weight (+17.89 pp), yielding higher rural volatility (σ = 1.94% vs. 1.54%).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