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E711C" w14:textId="77777777" w:rsidR="00551425" w:rsidRPr="00551425" w:rsidRDefault="00551425" w:rsidP="00551425">
      <w:pPr>
        <w:rPr>
          <w:b/>
          <w:bCs/>
        </w:rPr>
      </w:pPr>
      <w:r w:rsidRPr="00551425">
        <w:rPr>
          <w:b/>
          <w:bCs/>
        </w:rPr>
        <w:t>E-Commerce Data Science Analysis Report</w:t>
      </w:r>
    </w:p>
    <w:p w14:paraId="55962CCA" w14:textId="77777777" w:rsidR="00551425" w:rsidRPr="00551425" w:rsidRDefault="00551425" w:rsidP="00551425">
      <w:pPr>
        <w:rPr>
          <w:b/>
          <w:bCs/>
        </w:rPr>
      </w:pPr>
      <w:r w:rsidRPr="00551425">
        <w:rPr>
          <w:b/>
          <w:bCs/>
        </w:rPr>
        <w:t>Task 1: Exploratory Data Analysis (EDA) and Business Insights</w:t>
      </w:r>
    </w:p>
    <w:p w14:paraId="7D41379E" w14:textId="77777777" w:rsidR="00551425" w:rsidRPr="00551425" w:rsidRDefault="00551425" w:rsidP="00551425">
      <w:pPr>
        <w:rPr>
          <w:b/>
          <w:bCs/>
        </w:rPr>
      </w:pPr>
      <w:r w:rsidRPr="00551425">
        <w:rPr>
          <w:b/>
          <w:bCs/>
        </w:rPr>
        <w:t>Data Overview</w:t>
      </w:r>
    </w:p>
    <w:p w14:paraId="49FF9A5D" w14:textId="77777777" w:rsidR="00551425" w:rsidRPr="00551425" w:rsidRDefault="00551425" w:rsidP="00551425">
      <w:r w:rsidRPr="00551425">
        <w:t>The analysis was performed on three interconnected datasets:</w:t>
      </w:r>
    </w:p>
    <w:p w14:paraId="6DD1C643" w14:textId="77777777" w:rsidR="00551425" w:rsidRPr="00551425" w:rsidRDefault="00551425" w:rsidP="00551425">
      <w:pPr>
        <w:numPr>
          <w:ilvl w:val="0"/>
          <w:numId w:val="1"/>
        </w:numPr>
      </w:pPr>
      <w:r w:rsidRPr="00551425">
        <w:t>Customers.csv: Customer demographic and signup information</w:t>
      </w:r>
    </w:p>
    <w:p w14:paraId="23AFE86F" w14:textId="488B299C" w:rsidR="00551425" w:rsidRPr="00551425" w:rsidRDefault="00551425" w:rsidP="00551425">
      <w:pPr>
        <w:numPr>
          <w:ilvl w:val="0"/>
          <w:numId w:val="1"/>
        </w:numPr>
      </w:pPr>
      <w:r w:rsidRPr="00551425">
        <w:t xml:space="preserve">Products.csv: Product </w:t>
      </w:r>
      <w:r w:rsidR="004C5EEA" w:rsidRPr="00551425">
        <w:t>catalogue</w:t>
      </w:r>
      <w:r w:rsidRPr="00551425">
        <w:t xml:space="preserve"> and pricing data</w:t>
      </w:r>
    </w:p>
    <w:p w14:paraId="2E74B9F9" w14:textId="77777777" w:rsidR="00551425" w:rsidRPr="00551425" w:rsidRDefault="00551425" w:rsidP="00551425">
      <w:pPr>
        <w:numPr>
          <w:ilvl w:val="0"/>
          <w:numId w:val="1"/>
        </w:numPr>
      </w:pPr>
      <w:r w:rsidRPr="00551425">
        <w:t>Transactions.csv: Detailed transaction records</w:t>
      </w:r>
    </w:p>
    <w:p w14:paraId="4F0F6284" w14:textId="77777777" w:rsidR="00551425" w:rsidRPr="00551425" w:rsidRDefault="00551425" w:rsidP="00551425">
      <w:pPr>
        <w:rPr>
          <w:b/>
          <w:bCs/>
        </w:rPr>
      </w:pPr>
      <w:r w:rsidRPr="00551425">
        <w:rPr>
          <w:b/>
          <w:bCs/>
        </w:rPr>
        <w:t>Key Business Insights</w:t>
      </w:r>
    </w:p>
    <w:p w14:paraId="1C4352B9" w14:textId="77777777" w:rsidR="00551425" w:rsidRPr="00551425" w:rsidRDefault="00551425" w:rsidP="00551425">
      <w:pPr>
        <w:numPr>
          <w:ilvl w:val="0"/>
          <w:numId w:val="2"/>
        </w:numPr>
      </w:pPr>
      <w:r w:rsidRPr="00551425">
        <w:rPr>
          <w:b/>
          <w:bCs/>
        </w:rPr>
        <w:t>Regional Market Dominance</w:t>
      </w:r>
      <w:r w:rsidRPr="00551425">
        <w:t xml:space="preserve"> South America leads customer distribution with approximately 29% of the customer base (58 customers), followed by Europe (25%), and equal representation in North America and Asia (22.5% each). This suggests successful penetration in emerging markets while maintaining strong presence in developed regions.</w:t>
      </w:r>
    </w:p>
    <w:p w14:paraId="5DC944D8" w14:textId="77777777" w:rsidR="00551425" w:rsidRPr="00551425" w:rsidRDefault="00551425" w:rsidP="00551425">
      <w:pPr>
        <w:numPr>
          <w:ilvl w:val="0"/>
          <w:numId w:val="2"/>
        </w:numPr>
      </w:pPr>
      <w:r w:rsidRPr="00551425">
        <w:rPr>
          <w:b/>
          <w:bCs/>
        </w:rPr>
        <w:t>Customer Acquisition Trends</w:t>
      </w:r>
      <w:r w:rsidRPr="00551425">
        <w:t xml:space="preserve"> Analysis of signup patterns reveals a significant acceleration in customer acquisition from mid-2023 onwards, following a temporary slowdown in early 2023. The sharp upward trajectory indicates successful marketing initiatives and suggests strong market momentum going into 2024.</w:t>
      </w:r>
    </w:p>
    <w:p w14:paraId="0D62F0CF" w14:textId="77777777" w:rsidR="00551425" w:rsidRPr="00551425" w:rsidRDefault="00551425" w:rsidP="00551425">
      <w:pPr>
        <w:numPr>
          <w:ilvl w:val="0"/>
          <w:numId w:val="2"/>
        </w:numPr>
      </w:pPr>
      <w:r w:rsidRPr="00551425">
        <w:rPr>
          <w:b/>
          <w:bCs/>
        </w:rPr>
        <w:t>Product Portfolio Balance</w:t>
      </w:r>
      <w:r w:rsidRPr="00551425">
        <w:t xml:space="preserve"> The product </w:t>
      </w:r>
      <w:proofErr w:type="spellStart"/>
      <w:r w:rsidRPr="00551425">
        <w:t>catalog</w:t>
      </w:r>
      <w:proofErr w:type="spellEnd"/>
      <w:r w:rsidRPr="00551425">
        <w:t xml:space="preserve"> shows remarkable equilibrium across categories:</w:t>
      </w:r>
    </w:p>
    <w:p w14:paraId="27BCDC9D" w14:textId="77777777" w:rsidR="00551425" w:rsidRPr="00551425" w:rsidRDefault="00551425" w:rsidP="00551425">
      <w:pPr>
        <w:numPr>
          <w:ilvl w:val="0"/>
          <w:numId w:val="3"/>
        </w:numPr>
      </w:pPr>
      <w:r w:rsidRPr="00551425">
        <w:t>Books: 26.0%</w:t>
      </w:r>
    </w:p>
    <w:p w14:paraId="13683B58" w14:textId="77777777" w:rsidR="00551425" w:rsidRPr="00551425" w:rsidRDefault="00551425" w:rsidP="00551425">
      <w:pPr>
        <w:numPr>
          <w:ilvl w:val="0"/>
          <w:numId w:val="3"/>
        </w:numPr>
      </w:pPr>
      <w:r w:rsidRPr="00551425">
        <w:t>Electronics: 26.0%</w:t>
      </w:r>
    </w:p>
    <w:p w14:paraId="20B95D50" w14:textId="77777777" w:rsidR="00551425" w:rsidRPr="00551425" w:rsidRDefault="00551425" w:rsidP="00551425">
      <w:pPr>
        <w:numPr>
          <w:ilvl w:val="0"/>
          <w:numId w:val="3"/>
        </w:numPr>
      </w:pPr>
      <w:r w:rsidRPr="00551425">
        <w:t>Clothing: 25.0%</w:t>
      </w:r>
    </w:p>
    <w:p w14:paraId="023D7E56" w14:textId="77777777" w:rsidR="00551425" w:rsidRPr="00551425" w:rsidRDefault="00551425" w:rsidP="00551425">
      <w:pPr>
        <w:numPr>
          <w:ilvl w:val="0"/>
          <w:numId w:val="3"/>
        </w:numPr>
      </w:pPr>
      <w:r w:rsidRPr="00551425">
        <w:t>Home Decor: 23.0% This even distribution indicates strategic product diversity and broad market appeal.</w:t>
      </w:r>
    </w:p>
    <w:p w14:paraId="0C246C88" w14:textId="77777777" w:rsidR="00551425" w:rsidRPr="00551425" w:rsidRDefault="00551425" w:rsidP="00551425">
      <w:pPr>
        <w:numPr>
          <w:ilvl w:val="0"/>
          <w:numId w:val="4"/>
        </w:numPr>
      </w:pPr>
      <w:r w:rsidRPr="00551425">
        <w:rPr>
          <w:b/>
          <w:bCs/>
        </w:rPr>
        <w:t>Transaction Value Analysis</w:t>
      </w:r>
      <w:r w:rsidRPr="00551425">
        <w:t xml:space="preserve"> With an average transaction value of $690.00 and total revenue of $689,995.56, the platform demonstrates strong performance in the medium to high-value transaction segment. The platform has achieved significant revenue while maintaining a focused customer base of 200 users.</w:t>
      </w:r>
    </w:p>
    <w:p w14:paraId="6C64553A" w14:textId="77777777" w:rsidR="00551425" w:rsidRPr="00551425" w:rsidRDefault="00551425" w:rsidP="00551425">
      <w:pPr>
        <w:numPr>
          <w:ilvl w:val="0"/>
          <w:numId w:val="4"/>
        </w:numPr>
      </w:pPr>
      <w:r w:rsidRPr="00551425">
        <w:rPr>
          <w:b/>
          <w:bCs/>
        </w:rPr>
        <w:t>Customer Retention Metrics</w:t>
      </w:r>
      <w:r w:rsidRPr="00551425">
        <w:t xml:space="preserve"> The average customer age on the platform of 558 days indicates strong customer retention and platform stickiness. This suggests effective customer engagement strategies and satisfactory user experience.</w:t>
      </w:r>
    </w:p>
    <w:p w14:paraId="60268F44" w14:textId="6C6D83AE" w:rsidR="00551425" w:rsidRPr="00551425" w:rsidRDefault="00551425" w:rsidP="00551425">
      <w:pPr>
        <w:rPr>
          <w:b/>
          <w:bCs/>
        </w:rPr>
      </w:pPr>
      <w:r>
        <w:rPr>
          <w:b/>
          <w:bCs/>
        </w:rPr>
        <w:lastRenderedPageBreak/>
        <w:br/>
      </w:r>
      <w:r w:rsidRPr="00551425">
        <w:rPr>
          <w:b/>
          <w:bCs/>
        </w:rPr>
        <w:t>Visual Analysis Results</w:t>
      </w:r>
    </w:p>
    <w:p w14:paraId="42530256" w14:textId="77777777" w:rsidR="00551425" w:rsidRPr="00551425" w:rsidRDefault="00551425" w:rsidP="00551425">
      <w:pPr>
        <w:rPr>
          <w:b/>
          <w:bCs/>
        </w:rPr>
      </w:pPr>
      <w:r w:rsidRPr="00551425">
        <w:rPr>
          <w:b/>
          <w:bCs/>
        </w:rPr>
        <w:t>Customer Distribution</w:t>
      </w:r>
    </w:p>
    <w:p w14:paraId="058D86E5" w14:textId="77777777" w:rsidR="00551425" w:rsidRPr="00551425" w:rsidRDefault="00551425" w:rsidP="00551425">
      <w:r w:rsidRPr="00551425">
        <w:t>The geographic distribution visualization shows:</w:t>
      </w:r>
    </w:p>
    <w:p w14:paraId="217CB704" w14:textId="77777777" w:rsidR="00551425" w:rsidRPr="00551425" w:rsidRDefault="00551425" w:rsidP="00551425">
      <w:pPr>
        <w:numPr>
          <w:ilvl w:val="0"/>
          <w:numId w:val="5"/>
        </w:numPr>
      </w:pPr>
      <w:r w:rsidRPr="00551425">
        <w:t>Clear leadership in South American market</w:t>
      </w:r>
    </w:p>
    <w:p w14:paraId="4885D44B" w14:textId="77777777" w:rsidR="00551425" w:rsidRPr="00551425" w:rsidRDefault="00551425" w:rsidP="00551425">
      <w:pPr>
        <w:numPr>
          <w:ilvl w:val="0"/>
          <w:numId w:val="5"/>
        </w:numPr>
      </w:pPr>
      <w:r w:rsidRPr="00551425">
        <w:t>Balanced presence across other regions</w:t>
      </w:r>
    </w:p>
    <w:p w14:paraId="512E11CB" w14:textId="77777777" w:rsidR="00551425" w:rsidRPr="00551425" w:rsidRDefault="00551425" w:rsidP="00551425">
      <w:pPr>
        <w:numPr>
          <w:ilvl w:val="0"/>
          <w:numId w:val="5"/>
        </w:numPr>
      </w:pPr>
      <w:r w:rsidRPr="00551425">
        <w:t>Opportunity for expansion in Asian markets</w:t>
      </w:r>
    </w:p>
    <w:p w14:paraId="6F6D7CB3" w14:textId="77777777" w:rsidR="00551425" w:rsidRPr="00551425" w:rsidRDefault="00551425" w:rsidP="00551425">
      <w:pPr>
        <w:rPr>
          <w:b/>
          <w:bCs/>
        </w:rPr>
      </w:pPr>
      <w:r w:rsidRPr="00551425">
        <w:rPr>
          <w:b/>
          <w:bCs/>
        </w:rPr>
        <w:t>Product Pricing Strategy</w:t>
      </w:r>
    </w:p>
    <w:p w14:paraId="5655C4B4" w14:textId="77777777" w:rsidR="00551425" w:rsidRPr="00551425" w:rsidRDefault="00551425" w:rsidP="00551425">
      <w:r w:rsidRPr="00551425">
        <w:t>The price distribution histogram reveals:</w:t>
      </w:r>
    </w:p>
    <w:p w14:paraId="336819F6" w14:textId="77777777" w:rsidR="00551425" w:rsidRPr="00551425" w:rsidRDefault="00551425" w:rsidP="00551425">
      <w:pPr>
        <w:numPr>
          <w:ilvl w:val="0"/>
          <w:numId w:val="6"/>
        </w:numPr>
      </w:pPr>
      <w:r w:rsidRPr="00551425">
        <w:t>Primary concentration in $100-150 range</w:t>
      </w:r>
    </w:p>
    <w:p w14:paraId="3BB8D3C6" w14:textId="77777777" w:rsidR="00551425" w:rsidRPr="00551425" w:rsidRDefault="00551425" w:rsidP="00551425">
      <w:pPr>
        <w:numPr>
          <w:ilvl w:val="0"/>
          <w:numId w:val="6"/>
        </w:numPr>
      </w:pPr>
      <w:r w:rsidRPr="00551425">
        <w:t>Secondary clusters around $300-400</w:t>
      </w:r>
    </w:p>
    <w:p w14:paraId="3CA131DD" w14:textId="77777777" w:rsidR="00551425" w:rsidRPr="00551425" w:rsidRDefault="00551425" w:rsidP="00551425">
      <w:pPr>
        <w:numPr>
          <w:ilvl w:val="0"/>
          <w:numId w:val="6"/>
        </w:numPr>
      </w:pPr>
      <w:r w:rsidRPr="00551425">
        <w:t>Premium product presence up to $500</w:t>
      </w:r>
    </w:p>
    <w:p w14:paraId="0F02CA73" w14:textId="77777777" w:rsidR="00551425" w:rsidRPr="00551425" w:rsidRDefault="00551425" w:rsidP="00551425">
      <w:pPr>
        <w:numPr>
          <w:ilvl w:val="0"/>
          <w:numId w:val="6"/>
        </w:numPr>
      </w:pPr>
      <w:r w:rsidRPr="00551425">
        <w:t>Strategic price point positioning across segments</w:t>
      </w:r>
    </w:p>
    <w:p w14:paraId="791D451D" w14:textId="77777777" w:rsidR="00551425" w:rsidRPr="00551425" w:rsidRDefault="00551425" w:rsidP="00551425">
      <w:pPr>
        <w:rPr>
          <w:b/>
          <w:bCs/>
        </w:rPr>
      </w:pPr>
      <w:r w:rsidRPr="00551425">
        <w:rPr>
          <w:b/>
          <w:bCs/>
        </w:rPr>
        <w:t>Customer Growth Trajectory</w:t>
      </w:r>
    </w:p>
    <w:p w14:paraId="72F1513C" w14:textId="77777777" w:rsidR="00551425" w:rsidRPr="00551425" w:rsidRDefault="00551425" w:rsidP="00551425">
      <w:r w:rsidRPr="00551425">
        <w:t>The signup trends graph demonstrates:</w:t>
      </w:r>
    </w:p>
    <w:p w14:paraId="2EC6539F" w14:textId="77777777" w:rsidR="00551425" w:rsidRPr="00551425" w:rsidRDefault="00551425" w:rsidP="00551425">
      <w:pPr>
        <w:numPr>
          <w:ilvl w:val="0"/>
          <w:numId w:val="7"/>
        </w:numPr>
      </w:pPr>
      <w:r w:rsidRPr="00551425">
        <w:t>Initial stability in early 2022</w:t>
      </w:r>
    </w:p>
    <w:p w14:paraId="0982D91A" w14:textId="77777777" w:rsidR="00551425" w:rsidRPr="00551425" w:rsidRDefault="00551425" w:rsidP="00551425">
      <w:pPr>
        <w:numPr>
          <w:ilvl w:val="0"/>
          <w:numId w:val="7"/>
        </w:numPr>
      </w:pPr>
      <w:r w:rsidRPr="00551425">
        <w:t>Strategic realignment period in early 2023</w:t>
      </w:r>
    </w:p>
    <w:p w14:paraId="7BCF61DB" w14:textId="77777777" w:rsidR="00551425" w:rsidRPr="00551425" w:rsidRDefault="00551425" w:rsidP="00551425">
      <w:pPr>
        <w:numPr>
          <w:ilvl w:val="0"/>
          <w:numId w:val="7"/>
        </w:numPr>
      </w:pPr>
      <w:r w:rsidRPr="00551425">
        <w:t>Accelerated growth phase from mid-2023</w:t>
      </w:r>
    </w:p>
    <w:p w14:paraId="5DE9FD3A" w14:textId="77777777" w:rsidR="00551425" w:rsidRPr="00551425" w:rsidRDefault="00551425" w:rsidP="00551425">
      <w:pPr>
        <w:numPr>
          <w:ilvl w:val="0"/>
          <w:numId w:val="7"/>
        </w:numPr>
      </w:pPr>
      <w:r w:rsidRPr="00551425">
        <w:t>Strong momentum into 2024</w:t>
      </w:r>
    </w:p>
    <w:p w14:paraId="43F5206C" w14:textId="6DB4800F" w:rsidR="00551425" w:rsidRPr="00551425" w:rsidRDefault="00551425" w:rsidP="00551425"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</w:p>
    <w:p w14:paraId="1DCF50A7" w14:textId="655D623B" w:rsidR="005027F3" w:rsidRPr="00551425" w:rsidRDefault="005027F3" w:rsidP="00551425"/>
    <w:sectPr w:rsidR="005027F3" w:rsidRPr="0055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66C7E"/>
    <w:multiLevelType w:val="multilevel"/>
    <w:tmpl w:val="C9E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E3CC1"/>
    <w:multiLevelType w:val="multilevel"/>
    <w:tmpl w:val="142C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36A2B"/>
    <w:multiLevelType w:val="multilevel"/>
    <w:tmpl w:val="8EE0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B6F9A"/>
    <w:multiLevelType w:val="multilevel"/>
    <w:tmpl w:val="4E04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65908"/>
    <w:multiLevelType w:val="multilevel"/>
    <w:tmpl w:val="C30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F40F8"/>
    <w:multiLevelType w:val="multilevel"/>
    <w:tmpl w:val="42C4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25645"/>
    <w:multiLevelType w:val="multilevel"/>
    <w:tmpl w:val="DFCC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7596D"/>
    <w:multiLevelType w:val="multilevel"/>
    <w:tmpl w:val="F3AC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AA2B8C"/>
    <w:multiLevelType w:val="multilevel"/>
    <w:tmpl w:val="BA44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A5B24"/>
    <w:multiLevelType w:val="multilevel"/>
    <w:tmpl w:val="929A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4776D6"/>
    <w:multiLevelType w:val="multilevel"/>
    <w:tmpl w:val="84E49A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D3E25"/>
    <w:multiLevelType w:val="multilevel"/>
    <w:tmpl w:val="8ECC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C6D8C"/>
    <w:multiLevelType w:val="multilevel"/>
    <w:tmpl w:val="A320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73972"/>
    <w:multiLevelType w:val="multilevel"/>
    <w:tmpl w:val="F33E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692777">
    <w:abstractNumId w:val="13"/>
  </w:num>
  <w:num w:numId="2" w16cid:durableId="1455293045">
    <w:abstractNumId w:val="7"/>
  </w:num>
  <w:num w:numId="3" w16cid:durableId="348680318">
    <w:abstractNumId w:val="8"/>
  </w:num>
  <w:num w:numId="4" w16cid:durableId="710230585">
    <w:abstractNumId w:val="10"/>
  </w:num>
  <w:num w:numId="5" w16cid:durableId="1753432887">
    <w:abstractNumId w:val="4"/>
  </w:num>
  <w:num w:numId="6" w16cid:durableId="1231843901">
    <w:abstractNumId w:val="5"/>
  </w:num>
  <w:num w:numId="7" w16cid:durableId="1521504380">
    <w:abstractNumId w:val="6"/>
  </w:num>
  <w:num w:numId="8" w16cid:durableId="1963608121">
    <w:abstractNumId w:val="11"/>
  </w:num>
  <w:num w:numId="9" w16cid:durableId="1391806629">
    <w:abstractNumId w:val="12"/>
  </w:num>
  <w:num w:numId="10" w16cid:durableId="524562912">
    <w:abstractNumId w:val="3"/>
  </w:num>
  <w:num w:numId="11" w16cid:durableId="1439983536">
    <w:abstractNumId w:val="1"/>
  </w:num>
  <w:num w:numId="12" w16cid:durableId="1042557643">
    <w:abstractNumId w:val="2"/>
  </w:num>
  <w:num w:numId="13" w16cid:durableId="1880584479">
    <w:abstractNumId w:val="9"/>
  </w:num>
  <w:num w:numId="14" w16cid:durableId="19157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25"/>
    <w:rsid w:val="000252CE"/>
    <w:rsid w:val="004C5EEA"/>
    <w:rsid w:val="005027F3"/>
    <w:rsid w:val="00551425"/>
    <w:rsid w:val="0074075C"/>
    <w:rsid w:val="007A4B15"/>
    <w:rsid w:val="00DD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7697"/>
  <w15:chartTrackingRefBased/>
  <w15:docId w15:val="{15A6E523-EC06-4501-957A-E1964518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Bhan</dc:creator>
  <cp:keywords/>
  <dc:description/>
  <cp:lastModifiedBy>Mrinal Bhan</cp:lastModifiedBy>
  <cp:revision>2</cp:revision>
  <dcterms:created xsi:type="dcterms:W3CDTF">2025-01-27T18:36:00Z</dcterms:created>
  <dcterms:modified xsi:type="dcterms:W3CDTF">2025-01-27T18:39:00Z</dcterms:modified>
</cp:coreProperties>
</file>