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IA736001 Internet of Things and Cloud Computing </w:t>
      </w:r>
      <w:r>
        <w:rPr>
          <w:b/>
        </w:rPr>
        <w:t>Authors:</w:t>
      </w:r>
      <w:r>
        <w:t xml:space="preserve"> Bhanu Gupta (100012452) and Roshan Aryal (1000123440) </w:t>
      </w:r>
      <w:r>
        <w:rPr>
          <w:b/>
        </w:rPr>
        <w:t>Date:</w:t>
      </w:r>
      <w:r>
        <w:t xml:space="preserve"> 3 August 2026 </w:t>
      </w:r>
      <w:r>
        <w:rPr>
          <w:b/>
        </w:rPr>
        <w:t>Contributions:</w:t>
      </w:r>
      <w:r>
        <w:t xml:space="preserve"> Both authors contributed equally, a 50/50 split across design, implementation, hardware testing and documentation. Section 11.1 is a joint reflection.</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pPr>
        <w:pStyle w:val="Heading3"/>
      </w:pPr>
      <w:r>
        <w:t>1.1 Relationship to the Case Study Analysis</w:t>
      </w:r>
    </w:p>
    <w:p>
      <w:r>
        <w:t>Part 1 of this assessment analysed the proposed system before it was built. This portfolio reports what was built, and the two align on every substantive point.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Case Study Analysis proposed</w:t>
            </w:r>
          </w:p>
        </w:tc>
        <w:tc>
          <w:tcPr>
            <w:tcW w:type="dxa" w:w="4320"/>
          </w:tcPr>
          <w:p>
            <w:pPr>
              <w:spacing w:after="40"/>
            </w:pPr>
            <w:r>
              <w:rPr>
                <w:b/>
                <w:sz w:val="19"/>
              </w:rPr>
            </w:r>
            <w:r>
              <w:rPr>
                <w:b/>
                <w:sz w:val="19"/>
              </w:rPr>
              <w:t>This implementation delivers</w:t>
            </w:r>
          </w:p>
        </w:tc>
      </w:tr>
      <w:tr>
        <w:tc>
          <w:tcPr>
            <w:tcW w:type="dxa" w:w="4320"/>
          </w:tcPr>
          <w:p>
            <w:pPr>
              <w:spacing w:after="40"/>
            </w:pPr>
            <w:r>
              <w:rPr>
                <w:sz w:val="19"/>
              </w:rPr>
            </w:r>
            <w:r>
              <w:rPr>
                <w:sz w:val="19"/>
              </w:rPr>
              <w:t>Two ESP32 boards, one sensing node and one edge gateway</w:t>
            </w:r>
          </w:p>
        </w:tc>
        <w:tc>
          <w:tcPr>
            <w:tcW w:type="dxa" w:w="4320"/>
          </w:tcPr>
          <w:p>
            <w:pPr>
              <w:spacing w:after="40"/>
            </w:pPr>
            <w:r>
              <w:rPr>
                <w:sz w:val="19"/>
              </w:rPr>
            </w:r>
            <w:r>
              <w:rPr>
                <w:sz w:val="19"/>
              </w:rPr>
              <w:t>Board 1 (</w:t>
            </w:r>
            <w:r>
              <w:rPr>
                <w:rFonts w:ascii="Consolas" w:hAnsi="Consolas"/>
                <w:sz w:val="19"/>
              </w:rPr>
              <w:t>44:1D:64:F5:FA:24</w:t>
            </w:r>
            <w:r>
              <w:rPr>
                <w:sz w:val="19"/>
              </w:rPr>
              <w:t>) and Board 2 (</w:t>
            </w:r>
            <w:r>
              <w:rPr>
                <w:rFonts w:ascii="Consolas" w:hAnsi="Consolas"/>
                <w:sz w:val="19"/>
              </w:rPr>
              <w:t>44:1D:64:F4:F1:C8</w:t>
            </w:r>
            <w:r>
              <w:rPr>
                <w:sz w:val="19"/>
              </w:rPr>
              <w:t>), §2</w:t>
            </w:r>
          </w:p>
        </w:tc>
      </w:tr>
      <w:tr>
        <w:tc>
          <w:tcPr>
            <w:tcW w:type="dxa" w:w="4320"/>
          </w:tcPr>
          <w:p>
            <w:pPr>
              <w:spacing w:after="40"/>
            </w:pPr>
            <w:r>
              <w:rPr>
                <w:sz w:val="19"/>
              </w:rPr>
            </w:r>
            <w:r>
              <w:rPr>
                <w:sz w:val="19"/>
              </w:rPr>
              <w:t>Three-tier arrangement: node, edge gateway, cloud</w:t>
            </w:r>
          </w:p>
        </w:tc>
        <w:tc>
          <w:tcPr>
            <w:tcW w:type="dxa" w:w="4320"/>
          </w:tcPr>
          <w:p>
            <w:pPr>
              <w:spacing w:after="40"/>
            </w:pPr>
            <w:r>
              <w:rPr>
                <w:sz w:val="19"/>
              </w:rPr>
            </w:r>
            <w:r>
              <w:rPr>
                <w:sz w:val="19"/>
              </w:rPr>
              <w:t>§4, with the gateway merging before anything leaves the network</w:t>
            </w:r>
          </w:p>
        </w:tc>
      </w:tr>
      <w:tr>
        <w:tc>
          <w:tcPr>
            <w:tcW w:type="dxa" w:w="4320"/>
          </w:tcPr>
          <w:p>
            <w:pPr>
              <w:spacing w:after="40"/>
            </w:pPr>
            <w:r>
              <w:rPr>
                <w:sz w:val="19"/>
              </w:rPr>
            </w:r>
            <w:r>
              <w:rPr>
                <w:sz w:val="19"/>
              </w:rPr>
              <w:t>ESP-NOW on the local leg, MQTT to the cloud</w:t>
            </w:r>
          </w:p>
        </w:tc>
        <w:tc>
          <w:tcPr>
            <w:tcW w:type="dxa" w:w="4320"/>
          </w:tcPr>
          <w:p>
            <w:pPr>
              <w:spacing w:after="40"/>
            </w:pPr>
            <w:r>
              <w:rPr>
                <w:sz w:val="19"/>
              </w:rPr>
            </w:r>
            <w:r>
              <w:rPr>
                <w:sz w:val="19"/>
              </w:rPr>
              <w:t>§5 and §7.5; 26-byte frames, JSON telemetry on port 1883</w:t>
            </w:r>
          </w:p>
        </w:tc>
      </w:tr>
      <w:tr>
        <w:tc>
          <w:tcPr>
            <w:tcW w:type="dxa" w:w="4320"/>
          </w:tcPr>
          <w:p>
            <w:pPr>
              <w:spacing w:after="40"/>
            </w:pPr>
            <w:r>
              <w:rPr>
                <w:sz w:val="19"/>
              </w:rPr>
            </w:r>
            <w:r>
              <w:rPr>
                <w:sz w:val="19"/>
              </w:rPr>
              <w:t>Channel discovered at runtime, not chosen</w:t>
            </w:r>
          </w:p>
        </w:tc>
        <w:tc>
          <w:tcPr>
            <w:tcW w:type="dxa" w:w="4320"/>
          </w:tcPr>
          <w:p>
            <w:pPr>
              <w:spacing w:after="40"/>
            </w:pPr>
            <w:r>
              <w:rPr>
                <w:sz w:val="19"/>
              </w:rPr>
            </w:r>
            <w:r>
              <w:rPr>
                <w:sz w:val="19"/>
              </w:rPr>
              <w:t>§4.2; the gateway reports the channel it landed on, and the node is pinned to match</w:t>
            </w:r>
          </w:p>
        </w:tc>
      </w:tr>
      <w:tr>
        <w:tc>
          <w:tcPr>
            <w:tcW w:type="dxa" w:w="4320"/>
          </w:tcPr>
          <w:p>
            <w:pPr>
              <w:spacing w:after="40"/>
            </w:pPr>
            <w:r>
              <w:rPr>
                <w:sz w:val="19"/>
              </w:rPr>
            </w:r>
            <w:r>
              <w:rPr>
                <w:sz w:val="19"/>
              </w:rPr>
              <w:t>Edge aggregation to reduce cloud traffic</w:t>
            </w:r>
          </w:p>
        </w:tc>
        <w:tc>
          <w:tcPr>
            <w:tcW w:type="dxa" w:w="4320"/>
          </w:tcPr>
          <w:p>
            <w:pPr>
              <w:spacing w:after="40"/>
            </w:pPr>
            <w:r>
              <w:rPr>
                <w:sz w:val="19"/>
              </w:rPr>
            </w:r>
            <w:r>
              <w:rPr>
                <w:sz w:val="19"/>
              </w:rPr>
              <w:t>Two 26-byte frames every 5 s become one publish every 10 s, §8.3</w:t>
            </w:r>
          </w:p>
        </w:tc>
      </w:tr>
      <w:tr>
        <w:tc>
          <w:tcPr>
            <w:tcW w:type="dxa" w:w="4320"/>
          </w:tcPr>
          <w:p>
            <w:pPr>
              <w:spacing w:after="40"/>
            </w:pPr>
            <w:r>
              <w:rPr>
                <w:sz w:val="19"/>
              </w:rPr>
            </w:r>
            <w:r>
              <w:rPr>
                <w:sz w:val="19"/>
              </w:rPr>
              <w:t xml:space="preserve">Deduplication on </w:t>
            </w:r>
            <w:r>
              <w:rPr>
                <w:rFonts w:ascii="Consolas" w:hAnsi="Consolas"/>
                <w:sz w:val="19"/>
              </w:rPr>
              <w:t>(src_id, boot_id, seq)</w:t>
            </w:r>
          </w:p>
        </w:tc>
        <w:tc>
          <w:tcPr>
            <w:tcW w:type="dxa" w:w="4320"/>
          </w:tcPr>
          <w:p>
            <w:pPr>
              <w:spacing w:after="40"/>
            </w:pPr>
            <w:r>
              <w:rPr>
                <w:sz w:val="19"/>
              </w:rPr>
            </w:r>
            <w:r>
              <w:rPr>
                <w:sz w:val="19"/>
              </w:rPr>
              <w:t>§6, with a node restart correctly distinguished from a replay</w:t>
            </w:r>
          </w:p>
        </w:tc>
      </w:tr>
      <w:tr>
        <w:tc>
          <w:tcPr>
            <w:tcW w:type="dxa" w:w="4320"/>
          </w:tcPr>
          <w:p>
            <w:pPr>
              <w:spacing w:after="40"/>
            </w:pPr>
            <w:r>
              <w:rPr>
                <w:sz w:val="19"/>
              </w:rPr>
            </w:r>
            <w:r>
              <w:rPr>
                <w:sz w:val="19"/>
              </w:rPr>
              <w:t>Link encryption with a pre-shared key pair</w:t>
            </w:r>
          </w:p>
        </w:tc>
        <w:tc>
          <w:tcPr>
            <w:tcW w:type="dxa" w:w="4320"/>
          </w:tcPr>
          <w:p>
            <w:pPr>
              <w:spacing w:after="40"/>
            </w:pPr>
            <w:r>
              <w:rPr>
                <w:sz w:val="19"/>
              </w:rPr>
            </w:r>
            <w:r>
              <w:rPr>
                <w:sz w:val="19"/>
              </w:rPr>
              <w:t>§7.9.3; PMK plus per-peer LMK, verified on hardware</w:t>
            </w:r>
          </w:p>
        </w:tc>
      </w:tr>
      <w:tr>
        <w:tc>
          <w:tcPr>
            <w:tcW w:type="dxa" w:w="4320"/>
          </w:tcPr>
          <w:p>
            <w:pPr>
              <w:spacing w:after="40"/>
            </w:pPr>
            <w:r>
              <w:rPr>
                <w:sz w:val="19"/>
              </w:rPr>
            </w:r>
            <w:r>
              <w:rPr>
                <w:sz w:val="19"/>
              </w:rPr>
              <w:t>ThingsBoard PaaS for registry, ingestion and dashboards</w:t>
            </w:r>
          </w:p>
        </w:tc>
        <w:tc>
          <w:tcPr>
            <w:tcW w:type="dxa" w:w="4320"/>
          </w:tcPr>
          <w:p>
            <w:pPr>
              <w:spacing w:after="40"/>
            </w:pPr>
            <w:r>
              <w:rPr>
                <w:sz w:val="19"/>
              </w:rPr>
            </w:r>
            <w:r>
              <w:rPr>
                <w:sz w:val="19"/>
              </w:rPr>
              <w:t>§7.5 and §8.9</w:t>
            </w:r>
          </w:p>
        </w:tc>
      </w:tr>
    </w:tbl>
    <w:p/>
    <w:p>
      <w:r>
        <w:t>Two differences are worth stating plainly rather than leaving for a reader to notice.</w:t>
      </w:r>
    </w:p>
    <w:p>
      <w:r>
        <w:rPr>
          <w:b/>
        </w:rPr>
        <w:t>The sensor changed.</w:t>
      </w:r>
      <w:r>
        <w:t xml:space="preserve"> The brief specified BMP280; the available hardware was DHT11. This alters what the system measures — humidity instead of pressure — but not the architecture being demonstrated. §3 sets out the substitution and its consequences in full.</w:t>
      </w:r>
    </w:p>
    <w:p>
      <w:r>
        <w:rPr>
          <w:b/>
        </w:rPr>
        <w:t>The implementation went further than the analysis.</w:t>
      </w:r>
      <w:r>
        <w:t xml:space="preserve"> The case study closed by recommending work on the cloud leg. Two capabilities were added afterwards that it does not describe: server-to-device RPC, so the cloud can change device behaviour rather than only observe it, and a store-and-forward buffer that preserves telemetry across a broker outage. Both are specified in §7.6 and verified on hardware in §8.8.</w:t>
      </w:r>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jc w:val="center"/>
      </w:pPr>
      <w:r>
        <w:drawing>
          <wp:inline xmlns:a="http://schemas.openxmlformats.org/drawingml/2006/main" xmlns:pic="http://schemas.openxmlformats.org/drawingml/2006/picture">
            <wp:extent cx="5486400" cy="3386176"/>
            <wp:docPr id="1" name="Picture 1"/>
            <wp:cNvGraphicFramePr>
              <a:graphicFrameLocks noChangeAspect="1"/>
            </wp:cNvGraphicFramePr>
            <a:graphic>
              <a:graphicData uri="http://schemas.openxmlformats.org/drawingml/2006/picture">
                <pic:pic>
                  <pic:nvPicPr>
                    <pic:cNvPr id="0" name="fig_circuit_diagram.png"/>
                    <pic:cNvPicPr/>
                  </pic:nvPicPr>
                  <pic:blipFill>
                    <a:blip r:embed="rId9"/>
                    <a:stretch>
                      <a:fillRect/>
                    </a:stretch>
                  </pic:blipFill>
                  <pic:spPr>
                    <a:xfrm>
                      <a:off x="0" y="0"/>
                      <a:ext cx="5486400" cy="3386176"/>
                    </a:xfrm>
                    <a:prstGeom prst="rect"/>
                  </pic:spPr>
                </pic:pic>
              </a:graphicData>
            </a:graphic>
          </wp:inline>
        </w:drawing>
      </w:r>
    </w:p>
    <w:p>
      <w:pPr>
        <w:spacing w:after="280"/>
        <w:jc w:val="center"/>
      </w:pPr>
      <w:r>
        <w:rPr>
          <w:b/>
          <w:sz w:val="19"/>
        </w:rPr>
        <w:t>Figure 1</w:t>
      </w:r>
      <w:r>
        <w:rPr>
          <w:sz w:val="19"/>
        </w:rPr>
        <w:t xml:space="preserve"> — Circuit and wiring. The two boards are electrically independent: each has its own USB supply and its own ground, and the only path between them is the encrypted ESP-NOW link drawn as a dashed line. The wiring is identical on both boards apart from the data pin, GPIO4 on Board 1 and GPIO5 on Board 2.</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1_both_boards_no_wire.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2_wiring_detail_dht11.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4" name="Picture 4"/>
            <wp:cNvGraphicFramePr>
              <a:graphicFrameLocks noChangeAspect="1"/>
            </wp:cNvGraphicFramePr>
            <a:graphic>
              <a:graphicData uri="http://schemas.openxmlformats.org/drawingml/2006/picture">
                <pic:pic>
                  <pic:nvPicPr>
                    <pic:cNvPr id="0" name="photo_03_board_on_breadboard.jpeg"/>
                    <pic:cNvPicPr/>
                  </pic:nvPicPr>
                  <pic:blipFill>
                    <a:blip r:embed="rId12"/>
                    <a:stretch>
                      <a:fillRect/>
                    </a:stretch>
                  </pic:blipFill>
                  <pic:spPr>
                    <a:xfrm>
                      <a:off x="0" y="0"/>
                      <a:ext cx="3291840" cy="4389483"/>
                    </a:xfrm>
                    <a:prstGeom prst="rect"/>
                  </pic:spPr>
                </pic:pic>
              </a:graphicData>
            </a:graphic>
          </wp:inline>
        </w:drawing>
      </w:r>
    </w:p>
    <w:p>
      <w:pPr>
        <w:spacing w:after="280"/>
        <w:jc w:val="center"/>
      </w:pPr>
      <w:r>
        <w:rPr>
          <w:b/>
          <w:sz w:val="19"/>
        </w:rPr>
        <w:t>Figure 4</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Bidirectional control and store-and-forward</w:t>
      </w:r>
    </w:p>
    <w:p>
      <w:r>
        <w:t>Two capabilities distinguish this implementation from a telemetry-only device.</w:t>
      </w:r>
    </w:p>
    <w:p>
      <w:pPr>
        <w:pStyle w:val="Heading4"/>
      </w:pPr>
      <w:r>
        <w:t>Server-to-device RPC</w:t>
      </w:r>
    </w:p>
    <w:p>
      <w:r>
        <w:t xml:space="preserve">Telemetry alone makes a device *observable*. It does not make it *manageable* — an operator can see what a sensor reports but cannot change how it behaves without physical access. The gateway therefore subscribes to </w:t>
      </w:r>
      <w:r>
        <w:rPr>
          <w:rFonts w:ascii="Consolas" w:hAnsi="Consolas"/>
          <w:sz w:val="19"/>
        </w:rPr>
        <w:t>v1/devices/me/rpc/request/+</w:t>
      </w:r>
      <w:r>
        <w:t xml:space="preserve"> and replies on the matching response topic, which is what makes the MQTT link bidirectional rather than a one-way feed.</w:t>
      </w:r>
    </w:p>
    <w:p>
      <w:r>
        <w:t>Three methods are implemented: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Behaviour</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Returns node liveness, packet counters, queue depth, current interval and radio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w:t>
            </w:r>
          </w:p>
        </w:tc>
        <w:tc>
          <w:tcPr>
            <w:tcW w:type="dxa" w:w="2880"/>
          </w:tcPr>
          <w:p>
            <w:pPr>
              <w:spacing w:after="40"/>
            </w:pPr>
            <w:r>
              <w:rPr>
                <w:sz w:val="19"/>
              </w:rPr>
            </w:r>
            <w:r>
              <w:rPr>
                <w:sz w:val="19"/>
              </w:rPr>
              <w:t>Changes the telemetry cadence at runtime, within bounds</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sz w:val="19"/>
              </w:rPr>
              <w:t>Zeroes the diagnostic counters without rebooting</w:t>
            </w:r>
          </w:p>
        </w:tc>
      </w:tr>
    </w:tbl>
    <w:p/>
    <w:p>
      <w:r>
        <w:t xml:space="preserve">Two design decisions are worth defending. First, </w:t>
      </w:r>
      <w:r>
        <w:rPr>
          <w:rFonts w:ascii="Consolas" w:hAnsi="Consolas"/>
          <w:sz w:val="19"/>
        </w:rPr>
        <w:t>setPublishInterval</w:t>
      </w:r>
      <w:r>
        <w:t xml:space="preserve"> is </w:t>
      </w:r>
      <w:r>
        <w:rPr>
          <w:b/>
        </w:rPr>
        <w:t>range-checked and rejected</w:t>
      </w:r>
      <w:r>
        <w:t xml:space="preserve"> rather than clamped: accepting a value silently different from the one requested would leave the operator believing something untrue about the device. The bounds (2 s to 300 s) prevent both a broker flood and a device that has effectively stopped reporting. Second, the handler runs on the Arduino task rather than a network task, because PubSubClient dispatches callbacks from </w:t>
      </w:r>
      <w:r>
        <w:rPr>
          <w:rFonts w:ascii="Consolas" w:hAnsi="Consolas"/>
          <w:sz w:val="19"/>
        </w:rPr>
        <w:t>mqtt.loop()</w:t>
      </w:r>
      <w:r>
        <w:t xml:space="preserve"> — so unlike the ESP-NOW receive callback, ordinary blocking code is safe here.</w:t>
      </w:r>
    </w:p>
    <w:p>
      <w:r>
        <w:t>The subscription is re-issued on every reconnection rather than once at startup. MQTT subscriptions are session state and are discarded when the connection drops, so a device that subscribed only at boot would continue publishing normally after a reconnect while silently ignoring every command — a failure that looks like nothing at all from the dashboard.</w:t>
      </w:r>
    </w:p>
    <w:p>
      <w:pPr>
        <w:pStyle w:val="Heading4"/>
      </w:pPr>
      <w:r>
        <w:t>Store-and-forward buffering</w:t>
      </w:r>
    </w:p>
    <w:p>
      <w:r>
        <w:t>Earlier versions discarded telemetry generated while the broker was unreachable. Given that Wi-Fi reconnection and MQTT retries are both expected events rather than exceptional ones, that meant routine network interruptions produced permanent gaps in the record.</w:t>
      </w:r>
    </w:p>
    <w:p>
      <w:r>
        <w:t>The gateway now holds unsent payloads in a fixed-size ring buffer of twelve slots — roughly two minutes of outage at the default cadence — and flushes them oldest-first once the broker is reachable again. Three properties matter:</w:t>
      </w:r>
    </w:p>
    <w:p>
      <w:pPr>
        <w:pStyle w:val="ListBullet"/>
      </w:pPr>
      <w:r>
        <w:rPr>
          <w:b/>
        </w:rPr>
        <w:t>Bounded.</w:t>
      </w:r>
      <w:r>
        <w:t xml:space="preserve"> A ring cannot exhaust memory during a long outage. When full, the oldest entry is overwritten and counted in </w:t>
      </w:r>
      <w:r>
        <w:rPr>
          <w:rFonts w:ascii="Consolas" w:hAnsi="Consolas"/>
          <w:sz w:val="19"/>
        </w:rPr>
        <w:t>dropped_total</w:t>
      </w:r>
      <w:r>
        <w:t>, so loss is visible rather than silent.</w:t>
      </w:r>
    </w:p>
    <w:p>
      <w:pPr>
        <w:pStyle w:val="ListBullet"/>
      </w:pPr>
      <w:r>
        <w:rPr>
          <w:b/>
        </w:rPr>
        <w:t>Ordered.</w:t>
      </w:r>
      <w:r>
        <w:t xml:space="preserve"> The flush stops at the first failed publish and leaves the remainder queued, so the cloud never receives readings out of sequence.</w:t>
      </w:r>
    </w:p>
    <w:p>
      <w:pPr>
        <w:pStyle w:val="ListBullet"/>
      </w:pPr>
      <w:r>
        <w:rPr>
          <w:b/>
        </w:rPr>
        <w:t>Recent-biased.</w:t>
      </w:r>
      <w:r>
        <w:t xml:space="preserve"> Overwriting the oldest is the correct trade for telemetry, where a reading from two minutes ago matters less than the one just taken.</w:t>
      </w:r>
    </w:p>
    <w:p>
      <w:r>
        <w:t>The buffer is held in RAM rather than flash. That is a deliberate limit: it survives a network outage, which is the failure it was built for, but not a power loss. Flash-backed storage would cover both at the cost of write-endurance management.</w:t>
      </w:r>
    </w:p>
    <w:p>
      <w:pPr>
        <w:pStyle w:val="Heading3"/>
      </w:pPr>
      <w:r>
        <w:t>7.7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7.8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7.9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7.9.1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7.9.2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§7.9.3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7.9.3 The sender-authentication problem</w:t>
      </w:r>
    </w:p>
    <w:p>
      <w:r>
        <w:t>This is worth setting out in full, because the reasoning that led away from the original design is the most instructive part of the project.</w:t>
      </w:r>
    </w:p>
    <w:p>
      <w:r>
        <w:t xml:space="preserve">That first version registered no ESP-NOW peers and used no encryption, because that is what allows a receiver to accept frames without a prior handshake. The consequence was that the </w:t>
      </w:r>
      <w:r>
        <w:rPr>
          <w:rFonts w:ascii="Consolas" w:hAnsi="Consolas"/>
          <w:sz w:val="19"/>
        </w:rPr>
        <w:t>src_id</w:t>
      </w:r>
      <w:r>
        <w:t xml:space="preserve"> field inside the packet was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7.9.4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(§7.7),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7.9.5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t xml:space="preserve">The first hardware test after enabling encryption produced no packets at all, which appeared to indicate that encrypted ESP-NOW could not complete between an associated gateway and an unassociated node. That conclusion was wrong. The gateway had roamed to an access point on a different channel at some point during the session, and the node was still pinned to the old one — the failure described under Limitations, occurring by coincidence during a security change. Once the channel was corrected, encryption worked without further modification, and has since run continuously with </w:t>
      </w:r>
      <w:r>
        <w:rPr>
          <w:rFonts w:ascii="Consolas" w:hAnsi="Consolas"/>
          <w:sz w:val="19"/>
        </w:rPr>
        <w:t>invalid=0</w:t>
      </w:r>
      <w:r>
        <w:t xml:space="preserve"> and </w:t>
      </w:r>
      <w:r>
        <w:rPr>
          <w:rFonts w:ascii="Consolas" w:hAnsi="Consolas"/>
          <w:sz w:val="19"/>
        </w:rPr>
        <w:t>wrong_sender=0</w:t>
      </w:r>
      <w:r>
        <w:t xml:space="preserve"> (</w:t>
      </w:r>
      <w:r>
        <w:rPr>
          <w:rFonts w:ascii="Consolas" w:hAnsi="Consolas"/>
          <w:sz w:val="19"/>
        </w:rPr>
        <w:t>evidence/08_encrypted_link_verified.txt</w:t>
      </w:r>
      <w:r>
        <w:t>).</w:t>
      </w:r>
    </w:p>
    <w:p>
      <w:r>
        <w:t>The methodological point is worth more than the technical one. Two independent faults were present simultaneously, and the symptom of the second — no packets arriving — was indistinguishable from the expected symptom of a broken first. Attributing the failure to the change most recently made was the obvious inference and the wrong one.</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r>
        <w:tc>
          <w:tcPr>
            <w:tcW w:type="dxa" w:w="2160"/>
          </w:tcPr>
          <w:p>
            <w:pPr>
              <w:spacing w:after="40"/>
            </w:pPr>
            <w:r>
              <w:rPr>
                <w:sz w:val="19"/>
              </w:rPr>
            </w:r>
            <w:r>
              <w:rPr>
                <w:sz w:val="19"/>
              </w:rPr>
              <w:t>12</w:t>
            </w:r>
          </w:p>
        </w:tc>
        <w:tc>
          <w:tcPr>
            <w:tcW w:type="dxa" w:w="2160"/>
          </w:tcPr>
          <w:p>
            <w:pPr>
              <w:spacing w:after="40"/>
            </w:pPr>
            <w:r>
              <w:rPr>
                <w:sz w:val="19"/>
              </w:rPr>
            </w:r>
            <w:r>
              <w:rPr>
                <w:sz w:val="19"/>
              </w:rPr>
              <w:t>A dashboard command changes device behaviour</w:t>
            </w:r>
          </w:p>
        </w:tc>
        <w:tc>
          <w:tcPr>
            <w:tcW w:type="dxa" w:w="2160"/>
          </w:tcPr>
          <w:p>
            <w:pPr>
              <w:spacing w:after="40"/>
            </w:pPr>
            <w:r>
              <w:rPr>
                <w:sz w:val="19"/>
              </w:rPr>
            </w:r>
            <w:r>
              <w:rPr>
                <w:rFonts w:ascii="Consolas" w:hAnsi="Consolas"/>
                <w:sz w:val="19"/>
              </w:rPr>
              <w:t>10_</w:t>
            </w:r>
            <w:r>
              <w:rPr>
                <w:sz w:val="19"/>
              </w:rPr>
              <w:t>, Figure 9</w:t>
            </w:r>
          </w:p>
        </w:tc>
        <w:tc>
          <w:tcPr>
            <w:tcW w:type="dxa" w:w="2160"/>
          </w:tcPr>
          <w:p>
            <w:pPr>
              <w:spacing w:after="40"/>
            </w:pPr>
            <w:r>
              <w:rPr>
                <w:sz w:val="19"/>
              </w:rPr>
            </w:r>
            <w:r>
              <w:rPr>
                <w:sz w:val="19"/>
              </w:rPr>
              <w:t xml:space="preserve">✅ </w:t>
            </w:r>
            <w:r>
              <w:rPr>
                <w:rFonts w:ascii="Consolas" w:hAnsi="Consolas"/>
                <w:sz w:val="19"/>
              </w:rPr>
              <w:t>setPublishInterval</w:t>
            </w:r>
            <w:r>
              <w:rPr>
                <w:sz w:val="19"/>
              </w:rPr>
              <w:t xml:space="preserve"> accepted and applied; </w:t>
            </w:r>
            <w:r>
              <w:rPr>
                <w:rFonts w:ascii="Consolas" w:hAnsi="Consolas"/>
                <w:sz w:val="19"/>
              </w:rPr>
              <w:t>rpc_handled</w:t>
            </w:r>
            <w:r>
              <w:rPr>
                <w:sz w:val="19"/>
              </w:rPr>
              <w:t xml:space="preserve"> incremented</w:t>
            </w:r>
          </w:p>
        </w:tc>
      </w:tr>
      <w:tr>
        <w:tc>
          <w:tcPr>
            <w:tcW w:type="dxa" w:w="2160"/>
          </w:tcPr>
          <w:p>
            <w:pPr>
              <w:spacing w:after="40"/>
            </w:pPr>
            <w:r>
              <w:rPr>
                <w:sz w:val="19"/>
              </w:rPr>
            </w:r>
            <w:r>
              <w:rPr>
                <w:sz w:val="19"/>
              </w:rPr>
              <w:t>13</w:t>
            </w:r>
          </w:p>
        </w:tc>
        <w:tc>
          <w:tcPr>
            <w:tcW w:type="dxa" w:w="2160"/>
          </w:tcPr>
          <w:p>
            <w:pPr>
              <w:spacing w:after="40"/>
            </w:pPr>
            <w:r>
              <w:rPr>
                <w:sz w:val="19"/>
              </w:rPr>
            </w:r>
            <w:r>
              <w:rPr>
                <w:sz w:val="19"/>
              </w:rPr>
              <w:t>Telemetry survives a broker outage</w:t>
            </w:r>
          </w:p>
        </w:tc>
        <w:tc>
          <w:tcPr>
            <w:tcW w:type="dxa" w:w="2160"/>
          </w:tcPr>
          <w:p>
            <w:pPr>
              <w:spacing w:after="40"/>
            </w:pPr>
            <w:r>
              <w:rPr>
                <w:sz w:val="19"/>
              </w:rPr>
            </w:r>
            <w:r>
              <w:rPr>
                <w:rFonts w:ascii="Consolas" w:hAnsi="Consolas"/>
                <w:sz w:val="19"/>
              </w:rPr>
              <w:t>10_</w:t>
            </w:r>
          </w:p>
        </w:tc>
        <w:tc>
          <w:tcPr>
            <w:tcW w:type="dxa" w:w="2160"/>
          </w:tcPr>
          <w:p>
            <w:pPr>
              <w:spacing w:after="40"/>
            </w:pPr>
            <w:r>
              <w:rPr>
                <w:sz w:val="19"/>
              </w:rPr>
            </w:r>
            <w:r>
              <w:rPr>
                <w:sz w:val="19"/>
              </w:rPr>
              <w:t xml:space="preserve">✅ </w:t>
            </w:r>
            <w:r>
              <w:rPr>
                <w:rFonts w:ascii="Consolas" w:hAnsi="Consolas"/>
                <w:sz w:val="19"/>
              </w:rPr>
              <w:t>buffered_total=4</w:t>
            </w:r>
            <w:r>
              <w:rPr>
                <w:sz w:val="19"/>
              </w:rPr>
              <w:t xml:space="preserve">, </w:t>
            </w:r>
            <w:r>
              <w:rPr>
                <w:rFonts w:ascii="Consolas" w:hAnsi="Consolas"/>
                <w:sz w:val="19"/>
              </w:rPr>
              <w:t>dropped_total=0</w:t>
            </w:r>
            <w:r>
              <w:rPr>
                <w:sz w:val="19"/>
              </w:rPr>
              <w:t xml:space="preserve">, </w:t>
            </w:r>
            <w:r>
              <w:rPr>
                <w:rFonts w:ascii="Consolas" w:hAnsi="Consolas"/>
                <w:sz w:val="19"/>
              </w:rPr>
              <w:t>buffered_now=0</w:t>
            </w:r>
            <w:r>
              <w:rPr>
                <w:sz w:val="19"/>
              </w:rPr>
              <w:t xml:space="preserve"> — buffered then flushed, none lost</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Bidirectional control</w:t>
      </w:r>
    </w:p>
    <w:p>
      <w:r>
        <w:t>Sections 8.3 to 8.7 test the upward path: sensor to gateway to cloud. This section tests the downward one, which is what separates a managed device from a telemetry feed.</w:t>
      </w:r>
    </w:p>
    <w:p>
      <w:r>
        <w:t xml:space="preserve">Three </w:t>
      </w:r>
      <w:r>
        <w:rPr>
          <w:b/>
        </w:rPr>
        <w:t>RPC command buttons</w:t>
      </w:r>
      <w:r>
        <w:t xml:space="preserve"> were added to the dashboard, one per implemented method. Pressing *Fast publish (2 s)* and then *Normal publish (10 s)* produced this on the gateway's serial port:</w:t>
      </w:r>
    </w:p>
    <w:p>
      <w:pPr>
        <w:spacing w:before="120" w:after="120"/>
        <w:ind w:left="360"/>
      </w:pPr>
      <w:r>
        <w:rPr>
          <w:rFonts w:ascii="Consolas" w:hAnsi="Consolas"/>
          <w:sz w:val="17"/>
        </w:rPr>
        <w:t>[GATEWAY] RPC request id=1: {"method":"setPublishInterval","params":10000}</w:t>
        <w:br/>
        <w:t>[GATEWAY] publish interval now 10000 ms</w:t>
      </w:r>
    </w:p>
    <w:p>
      <w:r>
        <w:t xml:space="preserve">The command travels dashboard → ThingsBoard core → </w:t>
      </w:r>
      <w:r>
        <w:rPr>
          <w:rFonts w:ascii="Consolas" w:hAnsi="Consolas"/>
          <w:sz w:val="19"/>
        </w:rPr>
        <w:t>v1/devices/me/rpc/request/&lt;id&gt;</w:t>
      </w:r>
      <w:r>
        <w:t xml:space="preserve"> → firmware, and the change is then visible in the opposite direction: the next telemetry publish carried </w:t>
      </w:r>
      <w:r>
        <w:rPr>
          <w:rFonts w:ascii="Consolas" w:hAnsi="Consolas"/>
          <w:sz w:val="19"/>
        </w:rPr>
        <w:t>"publish_interval_ms":2000</w:t>
      </w:r>
      <w:r>
        <w:t xml:space="preserve"> and </w:t>
      </w:r>
      <w:r>
        <w:rPr>
          <w:rFonts w:ascii="Consolas" w:hAnsi="Consolas"/>
          <w:sz w:val="19"/>
        </w:rPr>
        <w:t>"rpc_handled":1</w:t>
      </w:r>
      <w:r>
        <w:t>, and the observed publish spacing changed accordingly. The round trip is therefore confirmed at both ends rather than assumed from a dashboard acknowledgement.</w:t>
      </w:r>
    </w:p>
    <w:p>
      <w:r>
        <w:t xml:space="preserve">The parameter type matters more than it first appears. The handler locates </w:t>
      </w:r>
      <w:r>
        <w:rPr>
          <w:rFonts w:ascii="Consolas" w:hAnsi="Consolas"/>
          <w:sz w:val="19"/>
        </w:rPr>
        <w:t>"params"</w:t>
      </w:r>
      <w:r>
        <w:t xml:space="preserve"> and scans forward to the first digit or sign, so a Boolean </w:t>
      </w:r>
      <w:r>
        <w:rPr>
          <w:rFonts w:ascii="Consolas" w:hAnsi="Consolas"/>
          <w:sz w:val="19"/>
        </w:rPr>
        <w:t>true</w:t>
      </w:r>
      <w:r>
        <w:t xml:space="preserve"> would parse as </w:t>
      </w:r>
      <w:r>
        <w:rPr>
          <w:rFonts w:ascii="Consolas" w:hAnsi="Consolas"/>
          <w:sz w:val="19"/>
        </w:rPr>
        <w:t>0</w:t>
      </w:r>
      <w:r>
        <w:t xml:space="preserve"> and be </w:t>
      </w:r>
      <w:r>
        <w:rPr>
          <w:b/>
        </w:rPr>
        <w:t>refused</w:t>
      </w:r>
      <w:r>
        <w:t xml:space="preserve"> by the range check rather than silently setting a nonsense cadence. Configuring the widget to send an Integer is what makes the command well-formed; the range check is what makes a malformed one harmless.</w:t>
      </w:r>
    </w:p>
    <w:p>
      <w:r>
        <w:t xml:space="preserve">The same capture confirms the store-and-forward path end to end. The gateway reported </w:t>
      </w:r>
      <w:r>
        <w:rPr>
          <w:rFonts w:ascii="Consolas" w:hAnsi="Consolas"/>
          <w:sz w:val="19"/>
        </w:rPr>
        <w:t>buffered_total=4</w:t>
      </w:r>
      <w:r>
        <w:t xml:space="preserve"> with </w:t>
      </w:r>
      <w:r>
        <w:rPr>
          <w:rFonts w:ascii="Consolas" w:hAnsi="Consolas"/>
          <w:sz w:val="19"/>
        </w:rPr>
        <w:t>buffered_now=0</w:t>
      </w:r>
      <w:r>
        <w:t xml:space="preserve"> and </w:t>
      </w:r>
      <w:r>
        <w:rPr>
          <w:rFonts w:ascii="Consolas" w:hAnsi="Consolas"/>
          <w:sz w:val="19"/>
        </w:rPr>
        <w:t>dropped_total=0</w:t>
      </w:r>
      <w:r>
        <w:t>: four payloads generated while the broker was unreachable were held, and all four were later flushed with none overwritten. Section 7.6 argued the design was bounded, ordered and recent-biased; this is the measurement that it also works.</w:t>
      </w:r>
    </w:p>
    <w:p>
      <w:pPr>
        <w:pStyle w:val="Heading3"/>
      </w:pPr>
      <w:r>
        <w:t>8.9 Cloud dashboard</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1_temperature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2_humidity_both_board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3_latest_telemetry_10_keys.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8" name="Picture 8"/>
            <wp:cNvGraphicFramePr>
              <a:graphicFrameLocks noChangeAspect="1"/>
            </wp:cNvGraphicFramePr>
            <a:graphic>
              <a:graphicData uri="http://schemas.openxmlformats.org/drawingml/2006/picture">
                <pic:pic>
                  <pic:nvPicPr>
                    <pic:cNvPr id="0" name="dashboard_04_device_state_active.jpg"/>
                    <pic:cNvPicPr/>
                  </pic:nvPicPr>
                  <pic:blipFill>
                    <a:blip r:embed="rId16"/>
                    <a:stretch>
                      <a:fillRect/>
                    </a:stretch>
                  </pic:blipFill>
                  <pic:spPr>
                    <a:xfrm>
                      <a:off x="0" y="0"/>
                      <a:ext cx="5486400" cy="3606614"/>
                    </a:xfrm>
                    <a:prstGeom prst="rect"/>
                  </pic:spPr>
                </pic:pic>
              </a:graphicData>
            </a:graphic>
          </wp:inline>
        </w:drawing>
      </w:r>
    </w:p>
    <w:p>
      <w:pPr>
        <w:spacing w:after="280"/>
        <w:jc w:val="center"/>
      </w:pPr>
      <w:r>
        <w:rPr>
          <w:b/>
          <w:sz w:val="19"/>
        </w:rPr>
        <w:t>Figure 8</w:t>
      </w:r>
      <w:r>
        <w:rPr>
          <w:sz w:val="19"/>
        </w:rPr>
        <w:t xml:space="preserve"> — The device registered as </w:t>
      </w:r>
      <w:r>
        <w:rPr>
          <w:b/>
          <w:sz w:val="19"/>
        </w:rPr>
        <w:t>Active</w:t>
      </w:r>
      <w:r>
        <w:rPr>
          <w:sz w:val="19"/>
        </w:rPr>
        <w:t>. ThingsBoard sets this state only on a live connection, so the badge is independent confirmation of cloud connectivity.</w:t>
      </w:r>
    </w:p>
    <w:p>
      <w:pPr>
        <w:jc w:val="center"/>
      </w:pPr>
      <w:r>
        <w:drawing>
          <wp:inline xmlns:a="http://schemas.openxmlformats.org/drawingml/2006/main" xmlns:pic="http://schemas.openxmlformats.org/drawingml/2006/picture">
            <wp:extent cx="5486400" cy="2425303"/>
            <wp:docPr id="9" name="Picture 9"/>
            <wp:cNvGraphicFramePr>
              <a:graphicFrameLocks noChangeAspect="1"/>
            </wp:cNvGraphicFramePr>
            <a:graphic>
              <a:graphicData uri="http://schemas.openxmlformats.org/drawingml/2006/picture">
                <pic:pic>
                  <pic:nvPicPr>
                    <pic:cNvPr id="0" name="dashboard_05_rpc_publish_interval_2000.jpg"/>
                    <pic:cNvPicPr/>
                  </pic:nvPicPr>
                  <pic:blipFill>
                    <a:blip r:embed="rId17"/>
                    <a:stretch>
                      <a:fillRect/>
                    </a:stretch>
                  </pic:blipFill>
                  <pic:spPr>
                    <a:xfrm>
                      <a:off x="0" y="0"/>
                      <a:ext cx="5486400" cy="2425303"/>
                    </a:xfrm>
                    <a:prstGeom prst="rect"/>
                  </pic:spPr>
                </pic:pic>
              </a:graphicData>
            </a:graphic>
          </wp:inline>
        </w:drawing>
      </w:r>
    </w:p>
    <w:p>
      <w:pPr>
        <w:spacing w:after="280"/>
        <w:jc w:val="center"/>
      </w:pPr>
      <w:r>
        <w:rPr>
          <w:b/>
          <w:sz w:val="19"/>
        </w:rPr>
        <w:t>Figure 9</w:t>
      </w:r>
      <w:r>
        <w:rPr>
          <w:sz w:val="19"/>
        </w:rPr>
        <w:t xml:space="preserve"> — The result of a dashboard command, read back from the cloud. </w:t>
      </w:r>
      <w:r>
        <w:rPr>
          <w:rFonts w:ascii="Consolas" w:hAnsi="Consolas"/>
          <w:sz w:val="19"/>
        </w:rPr>
        <w:t>publish_interval_ms</w:t>
      </w:r>
      <w:r>
        <w:rPr>
          <w:sz w:val="19"/>
        </w:rPr>
        <w:t xml:space="preserve"> is 2000 rather than the compiled-in default of 10000, and </w:t>
      </w:r>
      <w:r>
        <w:rPr>
          <w:rFonts w:ascii="Consolas" w:hAnsi="Consolas"/>
          <w:sz w:val="19"/>
        </w:rPr>
        <w:t>rpc_handled</w:t>
      </w:r>
      <w:r>
        <w:rPr>
          <w:sz w:val="19"/>
        </w:rPr>
        <w:t xml:space="preserve"> has incremented to 1. Because these values are reported *by the device* in its own telemetry, they confirm the command was received and applied, not merely that the dashboard sent it.</w:t>
      </w:r>
    </w:p>
    <w:p>
      <w:pPr>
        <w:jc w:val="center"/>
      </w:pPr>
      <w:r>
        <w:drawing>
          <wp:inline xmlns:a="http://schemas.openxmlformats.org/drawingml/2006/main" xmlns:pic="http://schemas.openxmlformats.org/drawingml/2006/picture">
            <wp:extent cx="5486400" cy="2424793"/>
            <wp:docPr id="10" name="Picture 10"/>
            <wp:cNvGraphicFramePr>
              <a:graphicFrameLocks noChangeAspect="1"/>
            </wp:cNvGraphicFramePr>
            <a:graphic>
              <a:graphicData uri="http://schemas.openxmlformats.org/drawingml/2006/picture">
                <pic:pic>
                  <pic:nvPicPr>
                    <pic:cNvPr id="0" name="dashboard_06_full_system_live.jpg"/>
                    <pic:cNvPicPr/>
                  </pic:nvPicPr>
                  <pic:blipFill>
                    <a:blip r:embed="rId18"/>
                    <a:stretch>
                      <a:fillRect/>
                    </a:stretch>
                  </pic:blipFill>
                  <pic:spPr>
                    <a:xfrm>
                      <a:off x="0" y="0"/>
                      <a:ext cx="5486400" cy="2424793"/>
                    </a:xfrm>
                    <a:prstGeom prst="rect"/>
                  </pic:spPr>
                </pic:pic>
              </a:graphicData>
            </a:graphic>
          </wp:inline>
        </w:drawing>
      </w:r>
    </w:p>
    <w:p>
      <w:pPr>
        <w:spacing w:after="280"/>
        <w:jc w:val="center"/>
      </w:pPr>
      <w:r>
        <w:rPr>
          <w:b/>
          <w:sz w:val="19"/>
        </w:rPr>
        <w:t>Figure 10</w:t>
      </w:r>
      <w:r>
        <w:rPr>
          <w:sz w:val="19"/>
        </w:rPr>
        <w:t xml:space="preserve"> — The complete system in operation. The gateway is </w:t>
      </w:r>
      <w:r>
        <w:rPr>
          <w:b/>
          <w:sz w:val="19"/>
        </w:rPr>
        <w:t>Online</w:t>
      </w:r>
      <w:r>
        <w:rPr>
          <w:sz w:val="19"/>
        </w:rPr>
        <w:t>, its own sensor reads 29.8 °C and 47 %, *Node 1 Communication Age* is counting in milliseconds rather than sitting stale, no alarms are raised, and the three RPC command buttons are available to an operator. This single view covers both directions of the link.</w:t>
      </w:r>
    </w:p>
    <w:p>
      <w:pPr>
        <w:jc w:val="center"/>
      </w:pPr>
      <w:r>
        <w:drawing>
          <wp:inline xmlns:a="http://schemas.openxmlformats.org/drawingml/2006/main" xmlns:pic="http://schemas.openxmlformats.org/drawingml/2006/picture">
            <wp:extent cx="5486400" cy="2424793"/>
            <wp:docPr id="11" name="Picture 11"/>
            <wp:cNvGraphicFramePr>
              <a:graphicFrameLocks noChangeAspect="1"/>
            </wp:cNvGraphicFramePr>
            <a:graphic>
              <a:graphicData uri="http://schemas.openxmlformats.org/drawingml/2006/picture">
                <pic:pic>
                  <pic:nvPicPr>
                    <pic:cNvPr id="0" name="dashboard_07_node1_keys_live.jpg"/>
                    <pic:cNvPicPr/>
                  </pic:nvPicPr>
                  <pic:blipFill>
                    <a:blip r:embed="rId19"/>
                    <a:stretch>
                      <a:fillRect/>
                    </a:stretch>
                  </pic:blipFill>
                  <pic:spPr>
                    <a:xfrm>
                      <a:off x="0" y="0"/>
                      <a:ext cx="5486400" cy="2424793"/>
                    </a:xfrm>
                    <a:prstGeom prst="rect"/>
                  </pic:spPr>
                </pic:pic>
              </a:graphicData>
            </a:graphic>
          </wp:inline>
        </w:drawing>
      </w:r>
    </w:p>
    <w:p>
      <w:pPr>
        <w:spacing w:after="280"/>
        <w:jc w:val="center"/>
      </w:pPr>
      <w:r>
        <w:rPr>
          <w:b/>
          <w:sz w:val="19"/>
        </w:rPr>
        <w:t>Figure 11</w:t>
      </w:r>
      <w:r>
        <w:rPr>
          <w:sz w:val="19"/>
        </w:rPr>
        <w:t xml:space="preserve"> — The cloud's view of the remote node, filtered to the </w:t>
      </w:r>
      <w:r>
        <w:rPr>
          <w:rFonts w:ascii="Consolas" w:hAnsi="Consolas"/>
          <w:sz w:val="19"/>
        </w:rPr>
        <w:t>node1_*</w:t>
      </w:r>
      <w:r>
        <w:rPr>
          <w:sz w:val="19"/>
        </w:rPr>
        <w:t xml:space="preserve"> keys. All five share one timestamp and </w:t>
      </w:r>
      <w:r>
        <w:rPr>
          <w:rFonts w:ascii="Consolas" w:hAnsi="Consolas"/>
          <w:sz w:val="19"/>
        </w:rPr>
        <w:t>node1_online</w:t>
      </w:r>
      <w:r>
        <w:rPr>
          <w:sz w:val="19"/>
        </w:rPr>
        <w:t xml:space="preserve"> is </w:t>
      </w:r>
      <w:r>
        <w:rPr>
          <w:rFonts w:ascii="Consolas" w:hAnsi="Consolas"/>
          <w:sz w:val="19"/>
        </w:rPr>
        <w:t>true</w:t>
      </w:r>
      <w:r>
        <w:rPr>
          <w:sz w:val="19"/>
        </w:rPr>
        <w:t>. These values originate on a board with no network connection of its own; they reached the cloud only by ESP-NOW to the gateway and MQTT onward, which is the central claim of the project reduced to five rows.</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§7.9.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Buffering is bounded and volatile.</w:t>
      </w:r>
      <w:r>
        <w:t xml:space="preserve"> The store-and-forward ring holds twelve payloads — about two minutes at the default cadence. A longer outage overwrites the oldest entries, which is counted in </w:t>
      </w:r>
      <w:r>
        <w:rPr>
          <w:rFonts w:ascii="Consolas" w:hAnsi="Consolas"/>
          <w:sz w:val="19"/>
        </w:rPr>
        <w:t>dropped_total</w:t>
      </w:r>
      <w:r>
        <w:t xml:space="preserve"> rather than hidden, but is still data loss. The buffer is in RAM, so it survives a network outage but not a power cycle. Both are deliberate trades rather than oversights, and §11 records what closing them would require.</w:t>
      </w:r>
    </w:p>
    <w:p>
      <w:r>
        <w:rPr>
          <w:b/>
        </w:rPr>
        <w:t>Manual channel configuration — observed, not hypothetical.</w:t>
      </w:r>
      <w:r>
        <w:t xml:space="preserve"> If the gateway roams to an access point on a different channel, the ESP-NOW link stops working while Wi-Fi and MQTT remain healthy.</w:t>
      </w:r>
    </w:p>
    <w:p>
      <w:r>
        <w:t xml:space="preserve">This occurred during testing. The gateway associated on channel 1, and later roamed to a different access point on channel 11 while the node remained pinned to channel 1. Delivery stopped completely: </w:t>
      </w:r>
      <w:r>
        <w:rPr>
          <w:rFonts w:ascii="Consolas" w:hAnsi="Consolas"/>
          <w:sz w:val="19"/>
        </w:rPr>
        <w:t>espnow_received_count</w:t>
      </w:r>
      <w:r>
        <w:t xml:space="preserve"> froze at zero, the node reported </w:t>
      </w:r>
      <w:r>
        <w:rPr>
          <w:rFonts w:ascii="Consolas" w:hAnsi="Consolas"/>
          <w:sz w:val="19"/>
        </w:rPr>
        <w:t>FAILED (no ack)</w:t>
      </w:r>
      <w:r>
        <w:t xml:space="preserve"> on every transmission, and the gateway continued publishing its own local readings to the cloud without interruption. Every indicator that a casual observer would check looked healthy.</w:t>
      </w:r>
    </w:p>
    <w:p>
      <w:r>
        <w:t xml:space="preserve">The incident was diagnosed from the gateway's own boot banner, which reports the active channel on every reconnection, and resolved by updating </w:t>
      </w:r>
      <w:r>
        <w:rPr>
          <w:rFonts w:ascii="Consolas" w:hAnsi="Consolas"/>
          <w:sz w:val="19"/>
        </w:rPr>
        <w:t>ESPNOW_CHANNEL</w:t>
      </w:r>
      <w:r>
        <w:t xml:space="preserve"> in the node firmware and re-uploading. Recovery took under two minutes but required physical access to the node.</w:t>
      </w:r>
    </w:p>
    <w:p>
      <w:r>
        <w:t>It then recurred. Over a single day the gateway was observed on channels 1, 11 and 6 in turn, and on the final occasion the node had been pinned to 6 while the gateway had settled back on 1 — the same silent failure, reached from the opposite direction. The recurrence is the point: this is not a one-off mistake that care prevents, it is a standing property of running ESP-NOW alongside a managed enterprise network, and any deployment on eduroam must either automate the channel or accept a link that breaks whenever the access point decides it should.</w:t>
      </w:r>
    </w:p>
    <w:p>
      <w:r>
        <w:t>Two lessons follow. First, this is the strongest argument in the project for the diagnostic output described in §7.5 — without a gateway that reports its own channel, the failure presents as "the remote sensor stopped working" with no indication of why. Second, it is the reason the demonstration procedure begins by re-reading the channel in the room where the demonstration will occur, rather than trusting a value recorded elsewhere.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TLS MQTT on port 8883</w:t>
      </w:r>
      <w:r>
        <w:t>, closing the one remaining plaintext path now that the radio link is encrypted.</w:t>
      </w:r>
    </w:p>
    <w:p>
      <w:pPr>
        <w:pStyle w:val="ListNumber"/>
      </w:pPr>
      <w:r>
        <w:rPr>
          <w:b/>
        </w:rPr>
        <w:t>Credentials in NVS</w:t>
      </w:r>
      <w:r>
        <w:t>, provisioned at first boot rather than compiled in — which would also remove the ESP-NOW keys from the firmware image.</w:t>
      </w:r>
    </w:p>
    <w:p>
      <w:pPr>
        <w:pStyle w:val="ListNumber"/>
      </w:pPr>
      <w:r>
        <w:rPr>
          <w:b/>
        </w:rPr>
        <w:t>Over-the-air firmware update.</w:t>
      </w:r>
      <w:r>
        <w:t xml:space="preserve"> Currently every change requires physical access to both boards. This is the change with the greatest operational impact, since the channel-roam incident in §9 required exactly that physical access to resolve.</w:t>
      </w:r>
    </w:p>
    <w:p>
      <w:pPr>
        <w:pStyle w:val="ListNumber"/>
      </w:pPr>
      <w:r>
        <w:rPr>
          <w:b/>
        </w:rPr>
        <w:t>Automatic channel recovery</w:t>
      </w:r>
      <w:r>
        <w:t xml:space="preserve"> — the node could scan for the gateway rather than being pinned to a hard-coded channel, which would have prevented that incident entirely.</w:t>
      </w:r>
    </w:p>
    <w:p>
      <w:pPr>
        <w:pStyle w:val="ListNumber"/>
      </w:pPr>
      <w:r>
        <w:rPr>
          <w:b/>
        </w:rPr>
        <w:t>Flash-backed buffering</w:t>
      </w:r>
      <w:r>
        <w:t>, so the store-and-forward queue survives power loss as well as network loss.</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Video evidence</w:t>
      </w:r>
    </w:p>
    <w:p>
      <w:r>
        <w:t>The demonstration recordings are hosted on OneDrive. Both links are view-accessible without a sign-in.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Recording</w:t>
            </w:r>
          </w:p>
        </w:tc>
        <w:tc>
          <w:tcPr>
            <w:tcW w:type="dxa" w:w="2160"/>
          </w:tcPr>
          <w:p>
            <w:pPr>
              <w:spacing w:after="40"/>
            </w:pPr>
            <w:r>
              <w:rPr>
                <w:b/>
                <w:sz w:val="19"/>
              </w:rPr>
            </w:r>
            <w:r>
              <w:rPr>
                <w:b/>
                <w:sz w:val="19"/>
              </w:rPr>
              <w:t>Length</w:t>
            </w:r>
          </w:p>
        </w:tc>
        <w:tc>
          <w:tcPr>
            <w:tcW w:type="dxa" w:w="2160"/>
          </w:tcPr>
          <w:p>
            <w:pPr>
              <w:spacing w:after="40"/>
            </w:pPr>
            <w:r>
              <w:rPr>
                <w:b/>
                <w:sz w:val="19"/>
              </w:rPr>
            </w:r>
            <w:r>
              <w:rPr>
                <w:b/>
                <w:sz w:val="19"/>
              </w:rPr>
              <w:t>Contents</w:t>
            </w:r>
          </w:p>
        </w:tc>
        <w:tc>
          <w:tcPr>
            <w:tcW w:type="dxa" w:w="2160"/>
          </w:tcPr>
          <w:p>
            <w:pPr>
              <w:spacing w:after="40"/>
            </w:pPr>
            <w:r>
              <w:rPr>
                <w:b/>
                <w:sz w:val="19"/>
              </w:rPr>
            </w:r>
            <w:r>
              <w:rPr>
                <w:b/>
                <w:sz w:val="19"/>
              </w:rPr>
              <w:t>Link</w:t>
            </w:r>
          </w:p>
        </w:tc>
      </w:tr>
      <w:tr>
        <w:tc>
          <w:tcPr>
            <w:tcW w:type="dxa" w:w="2160"/>
          </w:tcPr>
          <w:p>
            <w:pPr>
              <w:spacing w:after="40"/>
            </w:pPr>
            <w:r>
              <w:rPr>
                <w:sz w:val="19"/>
              </w:rPr>
            </w:r>
            <w:r>
              <w:rPr>
                <w:sz w:val="19"/>
              </w:rPr>
              <w:t>System demonstration</w:t>
            </w:r>
          </w:p>
        </w:tc>
        <w:tc>
          <w:tcPr>
            <w:tcW w:type="dxa" w:w="2160"/>
          </w:tcPr>
          <w:p>
            <w:pPr>
              <w:spacing w:after="40"/>
            </w:pPr>
            <w:r>
              <w:rPr>
                <w:sz w:val="19"/>
              </w:rPr>
            </w:r>
            <w:r>
              <w:rPr>
                <w:sz w:val="19"/>
              </w:rPr>
              <w:t>~6 min</w:t>
            </w:r>
          </w:p>
        </w:tc>
        <w:tc>
          <w:tcPr>
            <w:tcW w:type="dxa" w:w="2160"/>
          </w:tcPr>
          <w:p>
            <w:pPr>
              <w:spacing w:after="40"/>
            </w:pPr>
            <w:r>
              <w:rPr>
                <w:sz w:val="19"/>
              </w:rPr>
            </w:r>
            <w:r>
              <w:rPr>
                <w:sz w:val="19"/>
              </w:rPr>
              <w:t>Both boards powered, serial output from each, live telemetry reaching ThingsBoard, a dashboard command changing device behaviour, and the node going stale and recovering</w:t>
            </w:r>
          </w:p>
        </w:tc>
        <w:tc>
          <w:tcPr>
            <w:tcW w:type="dxa" w:w="2160"/>
          </w:tcPr>
          <w:p>
            <w:pPr>
              <w:spacing w:after="40"/>
            </w:pPr>
            <w:r>
              <w:rPr>
                <w:sz w:val="19"/>
              </w:rPr>
            </w:r>
            <w:r>
              <w:rPr>
                <w:sz w:val="19"/>
              </w:rPr>
              <w:t>*[paste OneDrive share link]*</w:t>
            </w:r>
          </w:p>
        </w:tc>
      </w:tr>
      <w:tr>
        <w:tc>
          <w:tcPr>
            <w:tcW w:type="dxa" w:w="2160"/>
          </w:tcPr>
          <w:p>
            <w:pPr>
              <w:spacing w:after="40"/>
            </w:pPr>
            <w:r>
              <w:rPr>
                <w:sz w:val="19"/>
              </w:rPr>
            </w:r>
            <w:r>
              <w:rPr>
                <w:sz w:val="19"/>
              </w:rPr>
              <w:t>Presentation</w:t>
            </w:r>
          </w:p>
        </w:tc>
        <w:tc>
          <w:tcPr>
            <w:tcW w:type="dxa" w:w="2160"/>
          </w:tcPr>
          <w:p>
            <w:pPr>
              <w:spacing w:after="40"/>
            </w:pPr>
            <w:r>
              <w:rPr>
                <w:sz w:val="19"/>
              </w:rPr>
            </w:r>
            <w:r>
              <w:rPr>
                <w:sz w:val="19"/>
              </w:rPr>
              <w:t>~10 min</w:t>
            </w:r>
          </w:p>
        </w:tc>
        <w:tc>
          <w:tcPr>
            <w:tcW w:type="dxa" w:w="2160"/>
          </w:tcPr>
          <w:p>
            <w:pPr>
              <w:spacing w:after="40"/>
            </w:pPr>
            <w:r>
              <w:rPr>
                <w:sz w:val="19"/>
              </w:rPr>
            </w:r>
            <w:r>
              <w:rPr>
                <w:sz w:val="19"/>
              </w:rPr>
              <w:t>Slide walkthrough against the marking domains, followed by the live demonstration</w:t>
            </w:r>
          </w:p>
        </w:tc>
        <w:tc>
          <w:tcPr>
            <w:tcW w:type="dxa" w:w="2160"/>
          </w:tcPr>
          <w:p>
            <w:pPr>
              <w:spacing w:after="40"/>
            </w:pPr>
            <w:r>
              <w:rPr>
                <w:sz w:val="19"/>
              </w:rPr>
            </w:r>
            <w:r>
              <w:rPr>
                <w:sz w:val="19"/>
              </w:rPr>
              <w:t>*[paste OneDrive share link]*</w:t>
            </w:r>
          </w:p>
        </w:tc>
      </w:tr>
    </w:tbl>
    <w:p/>
    <w:p>
      <w:r>
        <w:rPr>
          <w:rFonts w:ascii="Consolas" w:hAnsi="Consolas"/>
          <w:sz w:val="19"/>
        </w:rPr>
        <w:t>DEMO_PLAN.md</w:t>
      </w:r>
      <w:r>
        <w:t xml:space="preserve"> in the repository carries the runsheet these recordings follow, including the pre-flight checks and the intended order of the six demonstration steps.</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r>
        <w:tc>
          <w:tcPr>
            <w:tcW w:type="dxa" w:w="2880"/>
          </w:tcPr>
          <w:p>
            <w:pPr>
              <w:spacing w:after="40"/>
            </w:pPr>
            <w:r>
              <w:rPr>
                <w:sz w:val="19"/>
              </w:rPr>
            </w:r>
            <w:r>
              <w:rPr>
                <w:rFonts w:ascii="Consolas" w:hAnsi="Consolas"/>
                <w:sz w:val="19"/>
              </w:rPr>
              <w:t>buffered_now</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currently queued awaiting the broker</w:t>
            </w:r>
          </w:p>
        </w:tc>
      </w:tr>
      <w:tr>
        <w:tc>
          <w:tcPr>
            <w:tcW w:type="dxa" w:w="2880"/>
          </w:tcPr>
          <w:p>
            <w:pPr>
              <w:spacing w:after="40"/>
            </w:pPr>
            <w:r>
              <w:rPr>
                <w:sz w:val="19"/>
              </w:rPr>
            </w:r>
            <w:r>
              <w:rPr>
                <w:rFonts w:ascii="Consolas" w:hAnsi="Consolas"/>
                <w:sz w:val="19"/>
              </w:rPr>
              <w:t>buffered_total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queued since boot</w:t>
            </w:r>
          </w:p>
        </w:tc>
      </w:tr>
      <w:tr>
        <w:tc>
          <w:tcPr>
            <w:tcW w:type="dxa" w:w="2880"/>
          </w:tcPr>
          <w:p>
            <w:pPr>
              <w:spacing w:after="40"/>
            </w:pPr>
            <w:r>
              <w:rPr>
                <w:sz w:val="19"/>
              </w:rPr>
            </w:r>
            <w:r>
              <w:rPr>
                <w:rFonts w:ascii="Consolas" w:hAnsi="Consolas"/>
                <w:sz w:val="19"/>
              </w:rPr>
              <w:t>dropped_total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overwritten before they could be sent</w:t>
            </w:r>
          </w:p>
        </w:tc>
      </w:tr>
      <w:tr>
        <w:tc>
          <w:tcPr>
            <w:tcW w:type="dxa" w:w="2880"/>
          </w:tcPr>
          <w:p>
            <w:pPr>
              <w:spacing w:after="40"/>
            </w:pPr>
            <w:r>
              <w:rPr>
                <w:sz w:val="19"/>
              </w:rPr>
            </w:r>
            <w:r>
              <w:rPr>
                <w:rFonts w:ascii="Consolas" w:hAnsi="Consolas"/>
                <w:sz w:val="19"/>
              </w:rPr>
              <w:t>rpc_handled</w:t>
            </w:r>
          </w:p>
        </w:tc>
        <w:tc>
          <w:tcPr>
            <w:tcW w:type="dxa" w:w="2880"/>
          </w:tcPr>
          <w:p>
            <w:pPr>
              <w:spacing w:after="40"/>
            </w:pPr>
            <w:r>
              <w:rPr>
                <w:sz w:val="19"/>
              </w:rPr>
            </w:r>
            <w:r>
              <w:rPr>
                <w:sz w:val="19"/>
              </w:rPr>
              <w:t>number</w:t>
            </w:r>
          </w:p>
        </w:tc>
        <w:tc>
          <w:tcPr>
            <w:tcW w:type="dxa" w:w="2880"/>
          </w:tcPr>
          <w:p>
            <w:pPr>
              <w:spacing w:after="40"/>
            </w:pPr>
            <w:r>
              <w:rPr>
                <w:sz w:val="19"/>
              </w:rPr>
            </w:r>
            <w:r>
              <w:rPr>
                <w:sz w:val="19"/>
              </w:rPr>
              <w:t>Server-to-device commands accepted</w:t>
            </w:r>
          </w:p>
        </w:tc>
      </w:tr>
      <w:tr>
        <w:tc>
          <w:tcPr>
            <w:tcW w:type="dxa" w:w="2880"/>
          </w:tcPr>
          <w:p>
            <w:pPr>
              <w:spacing w:after="40"/>
            </w:pPr>
            <w:r>
              <w:rPr>
                <w:sz w:val="19"/>
              </w:rPr>
            </w:r>
            <w:r>
              <w:rPr>
                <w:rFonts w:ascii="Consolas" w:hAnsi="Consolas"/>
                <w:sz w:val="19"/>
              </w:rPr>
              <w:t>publish_interval_ms</w:t>
            </w:r>
          </w:p>
        </w:tc>
        <w:tc>
          <w:tcPr>
            <w:tcW w:type="dxa" w:w="2880"/>
          </w:tcPr>
          <w:p>
            <w:pPr>
              <w:spacing w:after="40"/>
            </w:pPr>
            <w:r>
              <w:rPr>
                <w:sz w:val="19"/>
              </w:rPr>
            </w:r>
            <w:r>
              <w:rPr>
                <w:sz w:val="19"/>
              </w:rPr>
              <w:t>number</w:t>
            </w:r>
          </w:p>
        </w:tc>
        <w:tc>
          <w:tcPr>
            <w:tcW w:type="dxa" w:w="2880"/>
          </w:tcPr>
          <w:p>
            <w:pPr>
              <w:spacing w:after="40"/>
            </w:pPr>
            <w:r>
              <w:rPr>
                <w:sz w:val="19"/>
              </w:rPr>
            </w:r>
            <w:r>
              <w:rPr>
                <w:sz w:val="19"/>
              </w:rPr>
              <w:t>Current telemetry cadence, settable by RPC</w:t>
            </w:r>
          </w:p>
        </w:tc>
      </w:tr>
    </w:tbl>
    <w:p/>
    <w:p>
      <w:pPr>
        <w:pStyle w:val="Heading3"/>
      </w:pPr>
      <w:r>
        <w:t>Server-to-device RPC methods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Returns</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Liveness, counters, queue depth, interval,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 (2000–300000)</w:t>
            </w:r>
          </w:p>
        </w:tc>
        <w:tc>
          <w:tcPr>
            <w:tcW w:type="dxa" w:w="2880"/>
          </w:tcPr>
          <w:p>
            <w:pPr>
              <w:spacing w:after="40"/>
            </w:pPr>
            <w:r>
              <w:rPr>
                <w:sz w:val="19"/>
              </w:rPr>
            </w:r>
            <w:r>
              <w:rPr>
                <w:rFonts w:ascii="Consolas" w:hAnsi="Consolas"/>
                <w:sz w:val="19"/>
              </w:rPr>
              <w:t>{"ok":true,...}</w:t>
            </w:r>
            <w:r>
              <w:rPr>
                <w:sz w:val="19"/>
              </w:rPr>
              <w:t xml:space="preserve"> or a rejection with the valid range</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rFonts w:ascii="Consolas" w:hAnsi="Consolas"/>
                <w:sz w:val="19"/>
              </w:rPr>
              <w:t>{"ok":true,"reset":true}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