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16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with timestamps, captured before the RPC and buffering keys of §7.6 were added, so it shows ten of the sixteen keys now published.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video is submitted with this portfolio rather than linked, so it needs no external hosting and no sign-in to view.</w:t>
      </w:r>
    </w:p>
    <w:p>
      <w:r>
        <w:rPr>
          <w:b/>
        </w:rPr>
        <w:t>`P1_demo_cloud_and_hardware.mp4`</w:t>
      </w:r>
      <w:r>
        <w:t xml:space="preserve"> — 1280×720, 2 min 03 s, 9.8 MB, with narration. Also in the repository at </w:t>
      </w:r>
      <w:r>
        <w:rPr>
          <w:rFonts w:ascii="Consolas" w:hAnsi="Consolas"/>
          <w:sz w:val="19"/>
        </w:rPr>
        <w:t>evidence/P1_demo_cloud_and_hardware.mp4</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From</w:t>
            </w:r>
          </w:p>
        </w:tc>
        <w:tc>
          <w:tcPr>
            <w:tcW w:type="dxa" w:w="2880"/>
          </w:tcPr>
          <w:p>
            <w:pPr>
              <w:spacing w:after="40"/>
            </w:pPr>
            <w:r>
              <w:rPr>
                <w:b/>
                <w:sz w:val="19"/>
              </w:rPr>
            </w:r>
            <w:r>
              <w:rPr>
                <w:b/>
                <w:sz w:val="19"/>
              </w:rPr>
              <w:t>Segment</w:t>
            </w:r>
          </w:p>
        </w:tc>
        <w:tc>
          <w:tcPr>
            <w:tcW w:type="dxa" w:w="2880"/>
          </w:tcPr>
          <w:p>
            <w:pPr>
              <w:spacing w:after="40"/>
            </w:pPr>
            <w:r>
              <w:rPr>
                <w:b/>
                <w:sz w:val="19"/>
              </w:rPr>
            </w:r>
            <w:r>
              <w:rPr>
                <w:b/>
                <w:sz w:val="19"/>
              </w:rPr>
              <w:t>Contents</w:t>
            </w:r>
          </w:p>
        </w:tc>
      </w:tr>
      <w:tr>
        <w:tc>
          <w:tcPr>
            <w:tcW w:type="dxa" w:w="2880"/>
          </w:tcPr>
          <w:p>
            <w:pPr>
              <w:spacing w:after="40"/>
            </w:pPr>
            <w:r>
              <w:rPr>
                <w:sz w:val="19"/>
              </w:rPr>
            </w:r>
            <w:r>
              <w:rPr>
                <w:sz w:val="19"/>
              </w:rPr>
              <w:t>0:00</w:t>
            </w:r>
          </w:p>
        </w:tc>
        <w:tc>
          <w:tcPr>
            <w:tcW w:type="dxa" w:w="2880"/>
          </w:tcPr>
          <w:p>
            <w:pPr>
              <w:spacing w:after="40"/>
            </w:pPr>
            <w:r>
              <w:rPr>
                <w:sz w:val="19"/>
              </w:rPr>
            </w:r>
            <w:r>
              <w:rPr>
                <w:sz w:val="19"/>
              </w:rPr>
              <w:t>Title</w:t>
            </w:r>
          </w:p>
        </w:tc>
        <w:tc>
          <w:tcPr>
            <w:tcW w:type="dxa" w:w="2880"/>
          </w:tcPr>
          <w:p>
            <w:pPr>
              <w:spacing w:after="40"/>
            </w:pPr>
            <w:r>
              <w:rPr>
                <w:sz w:val="19"/>
              </w:rPr>
            </w:r>
          </w:p>
        </w:tc>
      </w:tr>
      <w:tr>
        <w:tc>
          <w:tcPr>
            <w:tcW w:type="dxa" w:w="2880"/>
          </w:tcPr>
          <w:p>
            <w:pPr>
              <w:spacing w:after="40"/>
            </w:pPr>
            <w:r>
              <w:rPr>
                <w:sz w:val="19"/>
              </w:rPr>
            </w:r>
            <w:r>
              <w:rPr>
                <w:sz w:val="19"/>
              </w:rPr>
              <w:t>0:06</w:t>
            </w:r>
          </w:p>
        </w:tc>
        <w:tc>
          <w:tcPr>
            <w:tcW w:type="dxa" w:w="2880"/>
          </w:tcPr>
          <w:p>
            <w:pPr>
              <w:spacing w:after="40"/>
            </w:pPr>
            <w:r>
              <w:rPr>
                <w:sz w:val="19"/>
              </w:rPr>
            </w:r>
            <w:r>
              <w:rPr>
                <w:sz w:val="19"/>
              </w:rPr>
              <w:t>Hardware</w:t>
            </w:r>
          </w:p>
        </w:tc>
        <w:tc>
          <w:tcPr>
            <w:tcW w:type="dxa" w:w="2880"/>
          </w:tcPr>
          <w:p>
            <w:pPr>
              <w:spacing w:after="40"/>
            </w:pPr>
            <w:r>
              <w:rPr>
                <w:sz w:val="19"/>
              </w:rPr>
            </w:r>
            <w:r>
              <w:rPr>
                <w:sz w:val="19"/>
              </w:rPr>
              <w:t>Both boards on the bench, each separately powered, with no wire between them</w:t>
            </w:r>
          </w:p>
        </w:tc>
      </w:tr>
      <w:tr>
        <w:tc>
          <w:tcPr>
            <w:tcW w:type="dxa" w:w="2880"/>
          </w:tcPr>
          <w:p>
            <w:pPr>
              <w:spacing w:after="40"/>
            </w:pPr>
            <w:r>
              <w:rPr>
                <w:sz w:val="19"/>
              </w:rPr>
            </w:r>
            <w:r>
              <w:rPr>
                <w:sz w:val="19"/>
              </w:rPr>
              <w:t>0:22</w:t>
            </w:r>
          </w:p>
        </w:tc>
        <w:tc>
          <w:tcPr>
            <w:tcW w:type="dxa" w:w="2880"/>
          </w:tcPr>
          <w:p>
            <w:pPr>
              <w:spacing w:after="40"/>
            </w:pPr>
            <w:r>
              <w:rPr>
                <w:sz w:val="19"/>
              </w:rPr>
            </w:r>
            <w:r>
              <w:rPr>
                <w:sz w:val="19"/>
              </w:rPr>
              <w:t>Cloud</w:t>
            </w:r>
          </w:p>
        </w:tc>
        <w:tc>
          <w:tcPr>
            <w:tcW w:type="dxa" w:w="2880"/>
          </w:tcPr>
          <w:p>
            <w:pPr>
              <w:spacing w:after="40"/>
            </w:pPr>
            <w:r>
              <w:rPr>
                <w:sz w:val="19"/>
              </w:rPr>
            </w:r>
            <w:r>
              <w:rPr>
                <w:sz w:val="19"/>
              </w:rPr>
              <w:t>Gateway online, node communication age counting in milliseconds</w:t>
            </w:r>
          </w:p>
        </w:tc>
      </w:tr>
      <w:tr>
        <w:tc>
          <w:tcPr>
            <w:tcW w:type="dxa" w:w="2880"/>
          </w:tcPr>
          <w:p>
            <w:pPr>
              <w:spacing w:after="40"/>
            </w:pPr>
            <w:r>
              <w:rPr>
                <w:sz w:val="19"/>
              </w:rPr>
            </w:r>
            <w:r>
              <w:rPr>
                <w:sz w:val="19"/>
              </w:rPr>
              <w:t>0:27</w:t>
            </w:r>
          </w:p>
        </w:tc>
        <w:tc>
          <w:tcPr>
            <w:tcW w:type="dxa" w:w="2880"/>
          </w:tcPr>
          <w:p>
            <w:pPr>
              <w:spacing w:after="40"/>
            </w:pPr>
            <w:r>
              <w:rPr>
                <w:sz w:val="19"/>
              </w:rPr>
            </w:r>
            <w:r>
              <w:rPr>
                <w:sz w:val="19"/>
              </w:rPr>
              <w:t>Walkthrough</w:t>
            </w:r>
          </w:p>
        </w:tc>
        <w:tc>
          <w:tcPr>
            <w:tcW w:type="dxa" w:w="2880"/>
          </w:tcPr>
          <w:p>
            <w:pPr>
              <w:spacing w:after="40"/>
            </w:pPr>
            <w:r>
              <w:rPr>
                <w:sz w:val="19"/>
              </w:rPr>
            </w:r>
            <w:r>
              <w:rPr>
                <w:sz w:val="19"/>
              </w:rPr>
              <w:t xml:space="preserve">The RPC command sent and the device reporting the change back; the </w:t>
            </w:r>
            <w:r>
              <w:rPr>
                <w:rFonts w:ascii="Consolas" w:hAnsi="Consolas"/>
                <w:sz w:val="19"/>
              </w:rPr>
              <w:t>node1_*</w:t>
            </w:r>
            <w:r>
              <w:rPr>
                <w:sz w:val="19"/>
              </w:rPr>
              <w:t xml:space="preserve"> keys; both sensors on one chart</w:t>
            </w:r>
          </w:p>
        </w:tc>
      </w:tr>
      <w:tr>
        <w:tc>
          <w:tcPr>
            <w:tcW w:type="dxa" w:w="2880"/>
          </w:tcPr>
          <w:p>
            <w:pPr>
              <w:spacing w:after="40"/>
            </w:pPr>
            <w:r>
              <w:rPr>
                <w:sz w:val="19"/>
              </w:rPr>
            </w:r>
            <w:r>
              <w:rPr>
                <w:sz w:val="19"/>
              </w:rPr>
              <w:t>1:09</w:t>
            </w:r>
          </w:p>
        </w:tc>
        <w:tc>
          <w:tcPr>
            <w:tcW w:type="dxa" w:w="2880"/>
          </w:tcPr>
          <w:p>
            <w:pPr>
              <w:spacing w:after="40"/>
            </w:pPr>
            <w:r>
              <w:rPr>
                <w:sz w:val="19"/>
              </w:rPr>
            </w:r>
            <w:r>
              <w:rPr>
                <w:sz w:val="19"/>
              </w:rPr>
              <w:t>At the bench</w:t>
            </w:r>
          </w:p>
        </w:tc>
        <w:tc>
          <w:tcPr>
            <w:tcW w:type="dxa" w:w="2880"/>
          </w:tcPr>
          <w:p>
            <w:pPr>
              <w:spacing w:after="40"/>
            </w:pPr>
            <w:r>
              <w:rPr>
                <w:sz w:val="19"/>
              </w:rPr>
            </w:r>
            <w:r>
              <w:rPr>
                <w:sz w:val="19"/>
              </w:rPr>
              <w:t>The dashboard running beside the boards it reports on</w:t>
            </w:r>
          </w:p>
        </w:tc>
      </w:tr>
      <w:tr>
        <w:tc>
          <w:tcPr>
            <w:tcW w:type="dxa" w:w="2880"/>
          </w:tcPr>
          <w:p>
            <w:pPr>
              <w:spacing w:after="40"/>
            </w:pPr>
            <w:r>
              <w:rPr>
                <w:sz w:val="19"/>
              </w:rPr>
            </w:r>
            <w:r>
              <w:rPr>
                <w:sz w:val="19"/>
              </w:rPr>
              <w:t>1:26</w:t>
            </w:r>
          </w:p>
        </w:tc>
        <w:tc>
          <w:tcPr>
            <w:tcW w:type="dxa" w:w="2880"/>
          </w:tcPr>
          <w:p>
            <w:pPr>
              <w:spacing w:after="40"/>
            </w:pPr>
            <w:r>
              <w:rPr>
                <w:sz w:val="19"/>
              </w:rPr>
            </w:r>
            <w:r>
              <w:rPr>
                <w:sz w:val="19"/>
              </w:rPr>
              <w:t>Disconnection</w:t>
            </w:r>
          </w:p>
        </w:tc>
        <w:tc>
          <w:tcPr>
            <w:tcW w:type="dxa" w:w="2880"/>
          </w:tcPr>
          <w:p>
            <w:pPr>
              <w:spacing w:after="40"/>
            </w:pPr>
            <w:r>
              <w:rPr>
                <w:sz w:val="19"/>
              </w:rPr>
            </w:r>
            <w:r>
              <w:rPr>
                <w:sz w:val="19"/>
              </w:rPr>
              <w:t>Board 1's USB power pulled, the intervention behind §8.5</w:t>
            </w:r>
          </w:p>
        </w:tc>
      </w:tr>
      <w:tr>
        <w:tc>
          <w:tcPr>
            <w:tcW w:type="dxa" w:w="2880"/>
          </w:tcPr>
          <w:p>
            <w:pPr>
              <w:spacing w:after="40"/>
            </w:pPr>
            <w:r>
              <w:rPr>
                <w:sz w:val="19"/>
              </w:rPr>
            </w:r>
            <w:r>
              <w:rPr>
                <w:sz w:val="19"/>
              </w:rPr>
              <w:t>1:40</w:t>
            </w:r>
          </w:p>
        </w:tc>
        <w:tc>
          <w:tcPr>
            <w:tcW w:type="dxa" w:w="2880"/>
          </w:tcPr>
          <w:p>
            <w:pPr>
              <w:spacing w:after="40"/>
            </w:pPr>
            <w:r>
              <w:rPr>
                <w:sz w:val="19"/>
              </w:rPr>
            </w:r>
            <w:r>
              <w:rPr>
                <w:sz w:val="19"/>
              </w:rPr>
              <w:t>Round trip</w:t>
            </w:r>
          </w:p>
        </w:tc>
        <w:tc>
          <w:tcPr>
            <w:tcW w:type="dxa" w:w="2880"/>
          </w:tcPr>
          <w:p>
            <w:pPr>
              <w:spacing w:after="40"/>
            </w:pPr>
            <w:r>
              <w:rPr>
                <w:sz w:val="19"/>
              </w:rPr>
            </w:r>
            <w:r>
              <w:rPr>
                <w:rFonts w:ascii="Consolas" w:hAnsi="Consolas"/>
                <w:sz w:val="19"/>
              </w:rPr>
              <w:t>publish_interval_ms</w:t>
            </w:r>
            <w:r>
              <w:rPr>
                <w:sz w:val="19"/>
              </w:rPr>
              <w:t xml:space="preserve"> and </w:t>
            </w:r>
            <w:r>
              <w:rPr>
                <w:rFonts w:ascii="Consolas" w:hAnsi="Consolas"/>
                <w:sz w:val="19"/>
              </w:rPr>
              <w:t>rpc_handled</w:t>
            </w:r>
            <w:r>
              <w:rPr>
                <w:sz w:val="19"/>
              </w:rPr>
              <w:t xml:space="preserve"> after the command</w:t>
            </w:r>
          </w:p>
        </w:tc>
      </w:tr>
      <w:tr>
        <w:tc>
          <w:tcPr>
            <w:tcW w:type="dxa" w:w="2880"/>
          </w:tcPr>
          <w:p>
            <w:pPr>
              <w:spacing w:after="40"/>
            </w:pPr>
            <w:r>
              <w:rPr>
                <w:sz w:val="19"/>
              </w:rPr>
            </w:r>
            <w:r>
              <w:rPr>
                <w:sz w:val="19"/>
              </w:rPr>
              <w:t>1:57</w:t>
            </w:r>
          </w:p>
        </w:tc>
        <w:tc>
          <w:tcPr>
            <w:tcW w:type="dxa" w:w="2880"/>
          </w:tcPr>
          <w:p>
            <w:pPr>
              <w:spacing w:after="40"/>
            </w:pPr>
            <w:r>
              <w:rPr>
                <w:sz w:val="19"/>
              </w:rPr>
            </w:r>
            <w:r>
              <w:rPr>
                <w:sz w:val="19"/>
              </w:rPr>
              <w:t>Close</w:t>
            </w:r>
          </w:p>
        </w:tc>
        <w:tc>
          <w:tcPr>
            <w:tcW w:type="dxa" w:w="2880"/>
          </w:tcPr>
          <w:p>
            <w:pPr>
              <w:spacing w:after="40"/>
            </w:pPr>
            <w:r>
              <w:rPr>
                <w:sz w:val="19"/>
              </w:rPr>
            </w:r>
          </w:p>
        </w:tc>
      </w:tr>
    </w:tbl>
    <w:p/>
    <w:p>
      <w:r>
        <w:t xml:space="preserve">Subtitles are burned into the frames. The two source screen captures are also kept separately as </w:t>
      </w:r>
      <w:r>
        <w:rPr>
          <w:rFonts w:ascii="Consolas" w:hAnsi="Consolas"/>
          <w:sz w:val="19"/>
        </w:rPr>
        <w:t>evidence/video_02_thingsboard_walkthrough.gif</w:t>
      </w:r>
      <w:r>
        <w:t xml:space="preserve"> and </w:t>
      </w:r>
      <w:r>
        <w:rPr>
          <w:rFonts w:ascii="Consolas" w:hAnsi="Consolas"/>
          <w:sz w:val="19"/>
        </w:rPr>
        <w:t>evidence/video_01_thingsboard_rpc_demo.gif</w:t>
      </w:r>
      <w:r>
        <w:t>.</w:t>
      </w:r>
    </w:p>
    <w:p>
      <w:r>
        <w:t xml:space="preserve">What the assembled video does </w:t>
      </w:r>
      <w:r>
        <w:rPr>
          <w:b/>
        </w:rPr>
        <w:t>not</w:t>
      </w:r>
      <w:r>
        <w:t xml:space="preserve"> contain is the physical interventions: warming the sensor by hand, and disconnecting and restoring Board 1. Those produce the results reported in §8.5 and §8.6 and are filmed separately. </w:t>
      </w:r>
      <w:r>
        <w:rPr>
          <w:rFonts w:ascii="Consolas" w:hAnsi="Consolas"/>
          <w:sz w:val="19"/>
        </w:rPr>
        <w:t>VOICEOVER_SCRIPT.md</w:t>
      </w:r>
      <w:r>
        <w:t xml:space="preserve"> carries the narration script timed against the segments above.</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