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 your name ] </w:t>
      </w:r>
      <w:r>
        <w:rPr>
          <w:b/>
        </w:rPr>
        <w:t>Student ID:</w:t>
      </w:r>
      <w:r>
        <w:t xml:space="preserve"> [ your ID ] </w:t>
      </w:r>
      <w:r>
        <w:rPr>
          <w:b/>
        </w:rPr>
        <w:t>Cohort:</w:t>
      </w:r>
      <w:r>
        <w:t xml:space="preserve"> [ cohort number ] </w:t>
      </w:r>
      <w:r>
        <w:rPr>
          <w:b/>
        </w:rPr>
        <w:t>Lecturer:</w:t>
      </w:r>
      <w:r>
        <w:t xml:space="preserve"> Dr Senaka Amarakeerthi</w:t>
      </w:r>
    </w:p>
    <w:p>
      <w:r>
        <w:br w:type="page"/>
      </w:r>
    </w:p>
    <w:p>
      <w:pPr>
        <w:ind w:left="504"/>
      </w:pPr>
      <w:r>
        <w:rPr>
          <w:b/>
          <w:i/>
          <w:color w:val="803000"/>
        </w:rPr>
        <w:t>BEFORE SUBMITTING — read this and delete it.</w:t>
      </w:r>
      <w:r>
        <w:rPr>
          <w:i/>
          <w:color w:val="803000"/>
        </w:rPr>
        <w:t xml:space="preserve">  Three things in this document are yours and cannot be supplied for you:  1. </w:t>
      </w:r>
      <w:r>
        <w:rPr>
          <w:b/>
          <w:i/>
          <w:color w:val="803000"/>
        </w:rPr>
        <w:t>Every passage marked `[ AUTHENTICITY — … ]`.</w:t>
      </w:r>
      <w:r>
        <w:rPr>
          <w:i/>
          <w:color w:val="803000"/>
        </w:rPr>
        <w:t xml:space="preserve"> The brief has a section titled *Authenticity Requirements* asking for your own prior hands-on experience, what you learned, which concepts you found hardest, and insights from your own background. Those are statements about you. Write them yourself. 2. </w:t>
      </w:r>
      <w:r>
        <w:rPr>
          <w:b/>
          <w:i/>
          <w:color w:val="803000"/>
        </w:rPr>
        <w:t>Verify every reference in §7.</w:t>
      </w:r>
      <w:r>
        <w:rPr>
          <w:i/>
          <w:color w:val="803000"/>
        </w:rPr>
        <w:t xml:space="preserve"> They are drawn from standard, well-known literature in this field, but you must locate and check each one before submitting. Citing a source you have not seen is academic misconduct regardless of who drafted the list. 3. </w:t>
      </w:r>
      <w:r>
        <w:rPr>
          <w:b/>
          <w:i/>
          <w:color w:val="803000"/>
        </w:rPr>
        <w:t>The AI disclosure.</w:t>
      </w:r>
      <w:r>
        <w:rPr>
          <w:i/>
          <w:color w:val="803000"/>
        </w:rPr>
        <w:t xml:space="preserve"> The brief requires it and directs you to the Responsible Use of AI guidelines. Follow them exactly.  This is an </w:t>
      </w:r>
      <w:r>
        <w:rPr>
          <w:b/>
          <w:i/>
          <w:color w:val="803000"/>
        </w:rPr>
        <w:t>individual</w:t>
      </w:r>
      <w:r>
        <w:rPr>
          <w:i/>
          <w:color w:val="803000"/>
        </w:rPr>
        <w:t xml:space="preserve"> assessment (40%). Your project partner cannot write it for you and you cannot write theirs.</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that supplies device registry, time-series ingestion, a rule engine and dashboards without requiring the developer to provision compute or storage. Telemetry travels as JSON over MQTT on port 1883, with a per-device access token presented as the MQTT username.</w:t>
      </w:r>
    </w:p>
    <w:p>
      <w:r>
        <w:t>The principal findings are three. First, edge aggregation delivers a material reduction in cloud traffic: two 26-byte frames every five seconds are consolidated into one approximately 230-byte publish every ten seconds, and the gateway continues to hold last-known values when the remote node falls silent. Second, the deduplication scheme — keyed on source identifier, a random per-boot session identifier, and a sequence number — correctly distinguishes a node restart from a replayed packet, which a naive sequence check cannot. Third, and most significantly, the security posture is inadequate for deployment: ESP-NOW frames are unencrypted and senders are not cryptographically authenticated, so a forged frame carrying a high sequence number can advance the deduplication baseline and suppress all legitimate traffic from the genuine node until it reboots. This is a denial of service achieved through the integrity mechanism itself.</w:t>
      </w:r>
    </w:p>
    <w:p>
      <w:r>
        <w:t>The recommendations that follow prioritise ESP-NOW link encryption with pre-shared keys, TLS transport for MQTT, and runtime credential provisioning in place of compile-time embedding.</w:t>
      </w:r>
    </w:p>
    <w:p>
      <w:r>
        <w:t>*(≈ 390 words)*</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 models are worth stating to justify the choice. </w:t>
      </w:r>
      <w:r>
        <w:rPr>
          <w:b/>
        </w:rPr>
        <w:t>Infrastructure as a Service</w:t>
      </w:r>
      <w:r>
        <w:t xml:space="preserve"> — provisioning a virtual machine and installing Mosquitto, InfluxDB and Grafana — would offer greater control over data residency and retention, at the cost of operating system patching, broker configuration and backup management. For a two-device prototype this is disproportionate. </w:t>
      </w:r>
      <w:r>
        <w:rPr>
          <w:b/>
        </w:rPr>
        <w:t>Software as a Service</w:t>
      </w:r>
      <w:r>
        <w:t xml:space="preserve"> offerings such as Blynk or Arduino IoT Cloud would reduce integration work further but constrain the telemetry schema and the rule logic. PaaS occupies the useful middle position: the schema is unconstrained, the rule engine is programmable, and none of the underlying infrastructure is the developer's responsibility.</w:t>
      </w:r>
    </w:p>
    <w:p>
      <w:r>
        <w:t xml:space="preserve">A significant architectural consequence of PaaS is </w:t>
      </w:r>
      <w:r>
        <w:rPr>
          <w:b/>
        </w:rPr>
        <w:t>tenant isolation</w:t>
      </w:r>
      <w:r>
        <w:t>. Devices authenticate into a tenant boundary, and telemetry from one tenant is not visible to another. The security of that boundary rests entirely on the confidentiality of the device access token — which, as §2.4 discusses,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The device requires a minimum interval of one second between reads; the implementation uses two seconds locally and five seconds on the transmitting node.</w:t>
      </w:r>
    </w:p>
    <w:p>
      <w:r>
        <w:rPr>
          <w:b/>
        </w:rPr>
        <w:t>Encoding.</w:t>
      </w:r>
      <w:r>
        <w:t xml:space="preserve"> Readings are packed into a 26-byte structure containing a protocol version, message type, source and destination identifiers, a random per-boot session identifier, a sequence number, time-to-live and hop-count fields, two IEEE-754 single-precision floats, and the sender's uptime. </w:t>
      </w:r>
      <w:r>
        <w:rPr>
          <w:rFonts w:ascii="Consolas" w:hAnsi="Consolas"/>
          <w:sz w:val="19"/>
        </w:rPr>
        <w:t>#pragma pack(1)</w:t>
      </w:r>
      <w:r>
        <w:t xml:space="preserve"> suppresses compiler padding so the layout is deterministic across both boards.</w:t>
      </w:r>
    </w:p>
    <w:p>
      <w:r>
        <w:rPr>
          <w:b/>
        </w:rPr>
        <w:t>Transmission.</w:t>
      </w:r>
      <w:r>
        <w:t xml:space="preserve"> ESP-NOW carries the frame as a unicast to the gateway's station MAC address. The protocol operates directly above the 802.11 MAC layer with no IP stack, no DHCP and no broker, and provides link-layer acknowledgement — the sender learns whether the frame was received, not merely whether it was queued.</w:t>
      </w:r>
    </w:p>
    <w:p>
      <w:r>
        <w:rPr>
          <w:b/>
        </w:rPr>
        <w:t>Validation.</w:t>
      </w:r>
      <w:r>
        <w:t xml:space="preserve"> The gateway checks the source MAC against the expected node address, then verifies exact frame length, protocol version, message type, addressing fields, numeric finiteness and plausible sensor ranges. Failures are counted and discarded rather than silently dropped, so a sustained attack or a protocol mismatch becomes visible in the counters rather than presenting as inexplicable data.</w:t>
      </w:r>
    </w:p>
    <w:p>
      <w:r>
        <w:rPr>
          <w:b/>
        </w:rPr>
        <w:t>Deduplication.</w:t>
      </w:r>
      <w:r>
        <w:t xml:space="preserve"> Accepted frames are tested against the tuple (source, boot identifier, sequence). Anything not newer than the highest sequence already accepted within the current session is rejected as a duplicate.</w:t>
      </w:r>
    </w:p>
    <w:p>
      <w:r>
        <w:rPr>
          <w:b/>
        </w:rPr>
        <w:t>Aggregation and publication.</w:t>
      </w:r>
      <w:r>
        <w:t xml:space="preserve"> Local and remote readings are merged into a single JSON document and published to </w:t>
      </w:r>
      <w:r>
        <w:rPr>
          <w:rFonts w:ascii="Consolas" w:hAnsi="Consolas"/>
          <w:sz w:val="19"/>
        </w:rPr>
        <w:t>v1/devices/me/telemetry</w:t>
      </w:r>
      <w:r>
        <w:t xml:space="preserve"> every ten seconds.</w:t>
      </w:r>
    </w:p>
    <w:p>
      <w:r>
        <w:t>The architecturally interesting property is where data is *discarded*. Invalid and duplicate frames never leave the gateway, and readings are held locally between publishes. Two frames every five seconds become one publish every ten — a reduction in both message count and total bytes reaching the cloud, achieved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Frames carry up to 250 bytes of payload. Because there is no association, no DHCP lease and no connection state, a node can wake, transmit and sleep in a few milliseconds, against the seconds required for Wi-Fi association and DHCP. For battery-powered sensing this difference is decisive. The costs are equally clear: no routing, no internet reachability, and a peer table limited to twenty encrypted peers.</w:t>
      </w:r>
    </w:p>
    <w:p>
      <w:r>
        <w:rPr>
          <w:b/>
        </w:rPr>
        <w:t>MQTT</w:t>
      </w:r>
      <w:r>
        <w:t xml:space="preserve"> carries telemetry to the cloud. It is a publish-subscribe protocol over TCP, standardised by OASIS (Banks et al., 2019), designed for constrained devices and unreliable networks. Its header overhead of two bytes for small messages compares favourably with HTTP, and comparative studies consistently find lower bandwidth consumption and latency than request-response alternatives under equivalent conditions (Naik, 2017; Yassein et al., 2017). The implementation uses QoS 0, which is appropriate here: telemetry is periodic and a lost sample is superseded within ten seconds, so the additional round trips of QoS 1 would buy little.</w:t>
      </w:r>
    </w:p>
    <w:p>
      <w:r>
        <w:t>The protocol boundary at the gateway is the architectural point of interest. The gateway is the only component that speaks both, and it is therefore the only component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t>The system implements four controls and leaves four significant exposures.</w:t>
      </w:r>
    </w:p>
    <w:p>
      <w:r>
        <w:rPr>
          <w:b/>
        </w:rPr>
        <w:t>Implemented.</w:t>
      </w:r>
      <w:r>
        <w:t xml:space="preserve"> ESP-NOW link encryption using a primary master key and a per-peer local master key provides both confidentiality and sender authentication on the radio leg. Structural and plausibility validation rejects malformed frames. Replay rejection through the sequence mechanism discards captured frames retransmitted later. Source MAC filtering is retained as defence in depth. Credentials are excluded from version control.</w:t>
      </w:r>
    </w:p>
    <w:p>
      <w:r>
        <w:rPr>
          <w:b/>
        </w:rPr>
        <w:t>Not implemented.</w:t>
      </w:r>
      <w:r>
        <w:t xml:space="preserve"> MQTT runs without TLS, so the access token traverses the network in clear text on every connection. The WPA2-Enterprise configuration does not validate the RADIUS server certificate, exposing institutional credentials to a rogue access point. All credentials — Wi-Fi, cloud token and the ESP-NOW keys — are compiled into the firmware image and are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within each frame is a claim by the sender, not evidence of identity. Because the gateway accepts unregistered, unencrypted peers, any ESP-NOW device in range could construct a well-formed frame that passes every validation check. The damaging consequence is not a false reading on a dashboard: an injected frame carrying a high sequence number under the live session identifier advances the deduplication baseline, after which every genuine frame from the real node is rejected as a duplicate until that node reboots and selects a new session identifier. A single forged frame can silence the legitimate sensor indefinitely.</w:t>
      </w:r>
    </w:p>
    <w:p>
      <w:r>
        <w:t>This is worth generalising. Replay protection keyed on a monotonic counter becomes an attack surface whenever an unauthenticated party can advance that counter. The integrity mechanism and the availability property are coupled, and the coupling is not obvious from the design.</w:t>
      </w:r>
    </w:p>
    <w:p>
      <w:r>
        <w:t>The remediation history is instructive. The first mitigation attempted was source MAC filtering — discard frames whose driver-reported address is not the expected node. Independent adversarial review rejected this as a trust boundary, correctly: 802.11 source addresses are forgeable by anyone already able to inject frames, so the filter constrains only the unmotivated attacker. Filtering on a value the attacker controls is not authentication.</w:t>
      </w:r>
    </w:p>
    <w:p>
      <w:r>
        <w:t>The implemented remedy is ESP-NOW's link encryption, using a primary master key and per-peer local master keys. A frame is now accepted because it decrypts correctly under a key the sender must hold, not because of an address the sender selected. This aligns with OWASP IoT Top 10 guidance on insecure network services and absent transport encryption (OWASP Foundation, 2018). The general lesson — that a security property is not observable by testing the happy path, since the system behaves correctly under every non-hostile input — is the most transferable finding of the project.</w:t>
      </w:r>
    </w:p>
    <w:p>
      <w:pPr>
        <w:pStyle w:val="Heading3"/>
      </w:pPr>
      <w:r>
        <w:t>2.5 Scalability design</w:t>
      </w:r>
    </w:p>
    <w:p>
      <w:r>
        <w:rPr>
          <w:b/>
        </w:rPr>
        <w:t>Vertical scaling</w:t>
      </w:r>
      <w:r>
        <w:t xml:space="preserve"> at the edge is bounded by the ESP32 itself: 520 KB SRAM, a dual-core 240 MHz processor, and a 4 MB flash partition of which the gateway firmware consumes 77 per cent once the WPA2-Enterprise supplicant is included. Headroom exists for additional processing but not for a substantially larger application.</w:t>
      </w:r>
    </w:p>
    <w:p>
      <w:r>
        <w:rPr>
          <w:b/>
        </w:rPr>
        <w:t>Horizontal scaling</w:t>
      </w:r>
      <w:r>
        <w:t xml:space="preserve"> at the edge is limited by three factors. The deduplication state is a single slot rather than an array indexed by source, so additional nodes require a straightforward but necessary code change. ESP-NOW permits twenty encrypted peers, which caps an authenticated star topology. Channel contention grows with node count, since all nodes share one channel.</w:t>
      </w:r>
    </w:p>
    <w:p>
      <w:r>
        <w:rPr>
          <w:b/>
        </w:rPr>
        <w:t>Cloud-tier scaling</w:t>
      </w:r>
      <w:r>
        <w:t xml:space="preserve"> is the responsibility of the platform. ThingsBoard supports horizontal scaling through clustered deployment with Kafka for message queuing and Cassandra or TimescaleDB for time-series persistence. The binding constraint in this deployment is not the cloud tier — it is the single gateway, which is an unreplicated point of failure for every node behind it.</w:t>
      </w:r>
    </w:p>
    <w:p>
      <w:r>
        <w:t>*(≈ 990 words)*</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t>*(≈ 780 words)*</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t>*(≈ 720 words)*</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t>*(≈ 590 words)*</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t>*(≈ 390 words)*</w:t>
      </w:r>
    </w:p>
    <w:p>
      <w:r>
        <w:br w:type="page"/>
      </w:r>
    </w:p>
    <w:p>
      <w:pPr>
        <w:pStyle w:val="Heading2"/>
      </w:pPr>
      <w:r>
        <w:t>7. References</w:t>
      </w:r>
    </w:p>
    <w:p>
      <w:pPr>
        <w:ind w:left="504"/>
      </w:pPr>
      <w:r>
        <w:rPr>
          <w:b/>
          <w:i/>
          <w:color w:val="803000"/>
        </w:rPr>
        <w:t>Verify every entry before submitting.</w:t>
      </w:r>
      <w:r>
        <w:rPr>
          <w:i/>
          <w:color w:val="803000"/>
        </w:rPr>
        <w:t xml:space="preserve"> These are drawn from standard literature in the field and the details are believed correct, but you must locate and read each source. Your institution's library and Google Scholar will resolve the DOIs. Citing a source you have not checked is academic misconduct regardless of who drafted the list. Replace any you cannot verify. Confirm APA 7 formatting against your course guide.</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ind w:left="504"/>
      </w:pPr>
      <w:r>
        <w:rPr>
          <w:b/>
          <w:i/>
          <w:color w:val="803000"/>
        </w:rPr>
        <w:t>This entire section is yours to write.</w:t>
      </w:r>
      <w:r>
        <w:rPr>
          <w:i/>
          <w:color w:val="803000"/>
        </w:rPr>
        <w:t xml:space="preserve"> The brief requires you to describe your own prior hands-on experience, what you learned, which concepts you found hardest, industry parallels you have encountered, and insights from your own background. None of that can be supplied for you. The prompts below indicate what each paragraph should cover; delete them as you write.</w:t>
      </w:r>
    </w:p>
    <w:p>
      <w:pPr>
        <w:pStyle w:val="Heading3"/>
      </w:pPr>
      <w:r>
        <w:t>8.1 Prior hands-on experience</w:t>
      </w:r>
    </w:p>
    <w:p>
      <w:r>
        <w:t>*[ AUTHENTICITY — your own words. What did you build in the Embedded Systems module? Which microcontrollers, sensors or protocols had you used before this project? What transferred directly, and what did not? ]*</w:t>
      </w:r>
    </w:p>
    <w:p>
      <w:pPr>
        <w:pStyle w:val="Heading3"/>
      </w:pPr>
      <w:r>
        <w:t>8.2 What I learned during this analysis</w:t>
      </w:r>
    </w:p>
    <w:p>
      <w:r>
        <w:t>*[ AUTHENTICITY — your own words. Two or three specific things you did not know beforehand. Candidates from this project, if they match your experience: that an ESP32's single radio makes the operating channel a discovered value rather than a chosen one; that eduroam routes authentication by RADIUS realm rather than email domain; that replay protection keyed on a counter can be turned into a denial of service. ]*</w:t>
      </w:r>
    </w:p>
    <w:p>
      <w:pPr>
        <w:pStyle w:val="Heading3"/>
      </w:pPr>
      <w:r>
        <w:t>8.3 Concepts I found most challenging</w:t>
      </w:r>
    </w:p>
    <w:p>
      <w:r>
        <w:t>*[ AUTHENTICITY — your own words. Be specific and honest. What actually took the longest, and why? What did you get wrong first? ]*</w:t>
      </w:r>
    </w:p>
    <w:p>
      <w:pPr>
        <w:pStyle w:val="Heading3"/>
      </w:pPr>
      <w:r>
        <w:t>8.4 Real-world parallels</w:t>
      </w:r>
    </w:p>
    <w:p>
      <w:r>
        <w:t>*[ AUTHENTICITY — your own words. Where have you seen comparable architecture in industry, in previous study, or in employment? ]*</w:t>
      </w:r>
    </w:p>
    <w:p>
      <w:pPr>
        <w:pStyle w:val="Heading3"/>
      </w:pPr>
      <w:r>
        <w:t>8.5 Insights from my own background</w:t>
      </w:r>
    </w:p>
    <w:p>
      <w:r>
        <w:t>*[ AUTHENTICITY — your own words. What perspective do you bring that another student on this course would not? ]*</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