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(100012452) and Roshan Aryal (1000123440) </w:t>
      </w:r>
      <w:r>
        <w:rPr>
          <w:b/>
        </w:rPr>
        <w:t>Date:</w:t>
      </w:r>
      <w:r>
        <w:t xml:space="preserve"> 3 August 2026 </w:t>
      </w:r>
      <w:r>
        <w:rPr>
          <w:b/>
        </w:rPr>
        <w:t>Contributions:</w:t>
      </w:r>
      <w:r>
        <w:t xml:space="preserve"> Both authors contributed equally, a 50/50 split across design, implementation, hardware testing and documentation. Section 11.1 is a joint reflection.</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pPr>
        <w:pStyle w:val="Heading3"/>
      </w:pPr>
      <w:r>
        <w:t>1.1 Relationship to the Case Study Analysis</w:t>
      </w:r>
    </w:p>
    <w:p>
      <w:r>
        <w:t>Part 1 of this assessment analysed the proposed system before it was built. This portfolio reports what was built, and the two align on every substantive point.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Case Study Analysis proposed</w:t>
            </w:r>
          </w:p>
        </w:tc>
        <w:tc>
          <w:tcPr>
            <w:tcW w:type="dxa" w:w="4320"/>
          </w:tcPr>
          <w:p>
            <w:pPr>
              <w:spacing w:after="40"/>
            </w:pPr>
            <w:r>
              <w:rPr>
                <w:b/>
                <w:sz w:val="19"/>
              </w:rPr>
            </w:r>
            <w:r>
              <w:rPr>
                <w:b/>
                <w:sz w:val="19"/>
              </w:rPr>
              <w:t>This implementation delivers</w:t>
            </w:r>
          </w:p>
        </w:tc>
      </w:tr>
      <w:tr>
        <w:tc>
          <w:tcPr>
            <w:tcW w:type="dxa" w:w="4320"/>
          </w:tcPr>
          <w:p>
            <w:pPr>
              <w:spacing w:after="40"/>
            </w:pPr>
            <w:r>
              <w:rPr>
                <w:sz w:val="19"/>
              </w:rPr>
            </w:r>
            <w:r>
              <w:rPr>
                <w:sz w:val="19"/>
              </w:rPr>
              <w:t>Two ESP32 boards, one sensing node and one edge gateway</w:t>
            </w:r>
          </w:p>
        </w:tc>
        <w:tc>
          <w:tcPr>
            <w:tcW w:type="dxa" w:w="4320"/>
          </w:tcPr>
          <w:p>
            <w:pPr>
              <w:spacing w:after="40"/>
            </w:pPr>
            <w:r>
              <w:rPr>
                <w:sz w:val="19"/>
              </w:rPr>
            </w:r>
            <w:r>
              <w:rPr>
                <w:sz w:val="19"/>
              </w:rPr>
              <w:t>Board 1 (</w:t>
            </w:r>
            <w:r>
              <w:rPr>
                <w:rFonts w:ascii="Consolas" w:hAnsi="Consolas"/>
                <w:sz w:val="19"/>
              </w:rPr>
              <w:t>44:1D:64:F5:FA:24</w:t>
            </w:r>
            <w:r>
              <w:rPr>
                <w:sz w:val="19"/>
              </w:rPr>
              <w:t>) and Board 2 (</w:t>
            </w:r>
            <w:r>
              <w:rPr>
                <w:rFonts w:ascii="Consolas" w:hAnsi="Consolas"/>
                <w:sz w:val="19"/>
              </w:rPr>
              <w:t>44:1D:64:F4:F1:C8</w:t>
            </w:r>
            <w:r>
              <w:rPr>
                <w:sz w:val="19"/>
              </w:rPr>
              <w:t>), §2</w:t>
            </w:r>
          </w:p>
        </w:tc>
      </w:tr>
      <w:tr>
        <w:tc>
          <w:tcPr>
            <w:tcW w:type="dxa" w:w="4320"/>
          </w:tcPr>
          <w:p>
            <w:pPr>
              <w:spacing w:after="40"/>
            </w:pPr>
            <w:r>
              <w:rPr>
                <w:sz w:val="19"/>
              </w:rPr>
            </w:r>
            <w:r>
              <w:rPr>
                <w:sz w:val="19"/>
              </w:rPr>
              <w:t>Three-tier arrangement: node, edge gateway, cloud</w:t>
            </w:r>
          </w:p>
        </w:tc>
        <w:tc>
          <w:tcPr>
            <w:tcW w:type="dxa" w:w="4320"/>
          </w:tcPr>
          <w:p>
            <w:pPr>
              <w:spacing w:after="40"/>
            </w:pPr>
            <w:r>
              <w:rPr>
                <w:sz w:val="19"/>
              </w:rPr>
            </w:r>
            <w:r>
              <w:rPr>
                <w:sz w:val="19"/>
              </w:rPr>
              <w:t>§4, with the gateway merging before anything leaves the network</w:t>
            </w:r>
          </w:p>
        </w:tc>
      </w:tr>
      <w:tr>
        <w:tc>
          <w:tcPr>
            <w:tcW w:type="dxa" w:w="4320"/>
          </w:tcPr>
          <w:p>
            <w:pPr>
              <w:spacing w:after="40"/>
            </w:pPr>
            <w:r>
              <w:rPr>
                <w:sz w:val="19"/>
              </w:rPr>
            </w:r>
            <w:r>
              <w:rPr>
                <w:sz w:val="19"/>
              </w:rPr>
              <w:t>ESP-NOW on the local leg, MQTT to the cloud</w:t>
            </w:r>
          </w:p>
        </w:tc>
        <w:tc>
          <w:tcPr>
            <w:tcW w:type="dxa" w:w="4320"/>
          </w:tcPr>
          <w:p>
            <w:pPr>
              <w:spacing w:after="40"/>
            </w:pPr>
            <w:r>
              <w:rPr>
                <w:sz w:val="19"/>
              </w:rPr>
            </w:r>
            <w:r>
              <w:rPr>
                <w:sz w:val="19"/>
              </w:rPr>
              <w:t>§5 and §7.5; 26-byte frames, JSON telemetry on port 1883</w:t>
            </w:r>
          </w:p>
        </w:tc>
      </w:tr>
      <w:tr>
        <w:tc>
          <w:tcPr>
            <w:tcW w:type="dxa" w:w="4320"/>
          </w:tcPr>
          <w:p>
            <w:pPr>
              <w:spacing w:after="40"/>
            </w:pPr>
            <w:r>
              <w:rPr>
                <w:sz w:val="19"/>
              </w:rPr>
            </w:r>
            <w:r>
              <w:rPr>
                <w:sz w:val="19"/>
              </w:rPr>
              <w:t>Channel discovered at runtime, not chosen</w:t>
            </w:r>
          </w:p>
        </w:tc>
        <w:tc>
          <w:tcPr>
            <w:tcW w:type="dxa" w:w="4320"/>
          </w:tcPr>
          <w:p>
            <w:pPr>
              <w:spacing w:after="40"/>
            </w:pPr>
            <w:r>
              <w:rPr>
                <w:sz w:val="19"/>
              </w:rPr>
            </w:r>
            <w:r>
              <w:rPr>
                <w:sz w:val="19"/>
              </w:rPr>
              <w:t>§4.2; the gateway reports the channel it landed on, and the node is pinned to match</w:t>
            </w:r>
          </w:p>
        </w:tc>
      </w:tr>
      <w:tr>
        <w:tc>
          <w:tcPr>
            <w:tcW w:type="dxa" w:w="4320"/>
          </w:tcPr>
          <w:p>
            <w:pPr>
              <w:spacing w:after="40"/>
            </w:pPr>
            <w:r>
              <w:rPr>
                <w:sz w:val="19"/>
              </w:rPr>
            </w:r>
            <w:r>
              <w:rPr>
                <w:sz w:val="19"/>
              </w:rPr>
              <w:t>Edge aggregation to reduce cloud traffic</w:t>
            </w:r>
          </w:p>
        </w:tc>
        <w:tc>
          <w:tcPr>
            <w:tcW w:type="dxa" w:w="4320"/>
          </w:tcPr>
          <w:p>
            <w:pPr>
              <w:spacing w:after="40"/>
            </w:pPr>
            <w:r>
              <w:rPr>
                <w:sz w:val="19"/>
              </w:rPr>
            </w:r>
            <w:r>
              <w:rPr>
                <w:sz w:val="19"/>
              </w:rPr>
              <w:t>Two 26-byte frames every 5 s become one publish every 10 s, §8.3</w:t>
            </w:r>
          </w:p>
        </w:tc>
      </w:tr>
      <w:tr>
        <w:tc>
          <w:tcPr>
            <w:tcW w:type="dxa" w:w="4320"/>
          </w:tcPr>
          <w:p>
            <w:pPr>
              <w:spacing w:after="40"/>
            </w:pPr>
            <w:r>
              <w:rPr>
                <w:sz w:val="19"/>
              </w:rPr>
            </w:r>
            <w:r>
              <w:rPr>
                <w:sz w:val="19"/>
              </w:rPr>
              <w:t xml:space="preserve">Deduplication on </w:t>
            </w:r>
            <w:r>
              <w:rPr>
                <w:rFonts w:ascii="Consolas" w:hAnsi="Consolas"/>
                <w:sz w:val="19"/>
              </w:rPr>
              <w:t>(src_id, boot_id, seq)</w:t>
            </w:r>
          </w:p>
        </w:tc>
        <w:tc>
          <w:tcPr>
            <w:tcW w:type="dxa" w:w="4320"/>
          </w:tcPr>
          <w:p>
            <w:pPr>
              <w:spacing w:after="40"/>
            </w:pPr>
            <w:r>
              <w:rPr>
                <w:sz w:val="19"/>
              </w:rPr>
            </w:r>
            <w:r>
              <w:rPr>
                <w:sz w:val="19"/>
              </w:rPr>
              <w:t>§6, with a node restart correctly distinguished from a replay</w:t>
            </w:r>
          </w:p>
        </w:tc>
      </w:tr>
      <w:tr>
        <w:tc>
          <w:tcPr>
            <w:tcW w:type="dxa" w:w="4320"/>
          </w:tcPr>
          <w:p>
            <w:pPr>
              <w:spacing w:after="40"/>
            </w:pPr>
            <w:r>
              <w:rPr>
                <w:sz w:val="19"/>
              </w:rPr>
            </w:r>
            <w:r>
              <w:rPr>
                <w:sz w:val="19"/>
              </w:rPr>
              <w:t>Link encryption with a pre-shared key pair</w:t>
            </w:r>
          </w:p>
        </w:tc>
        <w:tc>
          <w:tcPr>
            <w:tcW w:type="dxa" w:w="4320"/>
          </w:tcPr>
          <w:p>
            <w:pPr>
              <w:spacing w:after="40"/>
            </w:pPr>
            <w:r>
              <w:rPr>
                <w:sz w:val="19"/>
              </w:rPr>
            </w:r>
            <w:r>
              <w:rPr>
                <w:sz w:val="19"/>
              </w:rPr>
              <w:t>§7.9.3; PMK plus per-peer LMK, verified on hardware</w:t>
            </w:r>
          </w:p>
        </w:tc>
      </w:tr>
      <w:tr>
        <w:tc>
          <w:tcPr>
            <w:tcW w:type="dxa" w:w="4320"/>
          </w:tcPr>
          <w:p>
            <w:pPr>
              <w:spacing w:after="40"/>
            </w:pPr>
            <w:r>
              <w:rPr>
                <w:sz w:val="19"/>
              </w:rPr>
            </w:r>
            <w:r>
              <w:rPr>
                <w:sz w:val="19"/>
              </w:rPr>
              <w:t>ThingsBoard PaaS for registry, ingestion and dashboards</w:t>
            </w:r>
          </w:p>
        </w:tc>
        <w:tc>
          <w:tcPr>
            <w:tcW w:type="dxa" w:w="4320"/>
          </w:tcPr>
          <w:p>
            <w:pPr>
              <w:spacing w:after="40"/>
            </w:pPr>
            <w:r>
              <w:rPr>
                <w:sz w:val="19"/>
              </w:rPr>
            </w:r>
            <w:r>
              <w:rPr>
                <w:sz w:val="19"/>
              </w:rPr>
              <w:t>§7.5 and §8.10</w:t>
            </w:r>
          </w:p>
        </w:tc>
      </w:tr>
    </w:tbl>
    <w:p/>
    <w:p>
      <w:r>
        <w:t>Two differences are worth stating plainly rather than leaving for a reader to notice.</w:t>
      </w:r>
    </w:p>
    <w:p>
      <w:r>
        <w:rPr>
          <w:b/>
        </w:rPr>
        <w:t>The sensor changed.</w:t>
      </w:r>
      <w:r>
        <w:t xml:space="preserve"> The brief specified BMP280; the available hardware was DHT11. This alters what the system measures — humidity instead of pressure — but not the architecture being demonstrated. §3 sets out the substitution and its consequences in full.</w:t>
      </w:r>
    </w:p>
    <w:p>
      <w:r>
        <w:rPr>
          <w:b/>
        </w:rPr>
        <w:t>The implementation went further than the analysis.</w:t>
      </w:r>
      <w:r>
        <w:t xml:space="preserve"> The case study closed by recommending work on the cloud leg. Two capabilities were added afterwards that it does not describe: server-to-device RPC, so the cloud can change device behaviour rather than only observe it, and a store-and-forward buffer that preserves telemetry across a broker outage. Both are specified in §7.6 and verified on hardware in §8.9.</w:t>
      </w:r>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r>
        <w:tc>
          <w:tcPr>
            <w:tcW w:type="dxa" w:w="2160"/>
          </w:tcPr>
          <w:p>
            <w:pPr>
              <w:spacing w:after="40"/>
            </w:pPr>
            <w:r>
              <w:rPr>
                <w:sz w:val="19"/>
              </w:rPr>
            </w:r>
            <w:r>
              <w:rPr>
                <w:sz w:val="19"/>
              </w:rPr>
              <w:t>14</w:t>
            </w:r>
          </w:p>
        </w:tc>
        <w:tc>
          <w:tcPr>
            <w:tcW w:type="dxa" w:w="2160"/>
          </w:tcPr>
          <w:p>
            <w:pPr>
              <w:spacing w:after="40"/>
            </w:pPr>
            <w:r>
              <w:rPr>
                <w:sz w:val="19"/>
              </w:rPr>
            </w:r>
            <w:r>
              <w:rPr>
                <w:sz w:val="19"/>
              </w:rPr>
              <w:t>The ack on the node corresponds to a real arrival on the gateway</w:t>
            </w:r>
          </w:p>
        </w:tc>
        <w:tc>
          <w:tcPr>
            <w:tcW w:type="dxa" w:w="2160"/>
          </w:tcPr>
          <w:p>
            <w:pPr>
              <w:spacing w:after="40"/>
            </w:pPr>
            <w:r>
              <w:rPr>
                <w:sz w:val="19"/>
              </w:rPr>
            </w:r>
            <w:r>
              <w:rPr>
                <w:rFonts w:ascii="Consolas" w:hAnsi="Consolas"/>
                <w:sz w:val="19"/>
              </w:rPr>
              <w:t>11_</w:t>
            </w:r>
          </w:p>
        </w:tc>
        <w:tc>
          <w:tcPr>
            <w:tcW w:type="dxa" w:w="2160"/>
          </w:tcPr>
          <w:p>
            <w:pPr>
              <w:spacing w:after="40"/>
            </w:pPr>
            <w:r>
              <w:rPr>
                <w:sz w:val="19"/>
              </w:rPr>
            </w:r>
            <w:r>
              <w:rPr>
                <w:sz w:val="19"/>
              </w:rPr>
              <w:t xml:space="preserve">✅ same </w:t>
            </w:r>
            <w:r>
              <w:rPr>
                <w:rFonts w:ascii="Consolas" w:hAnsi="Consolas"/>
                <w:sz w:val="19"/>
              </w:rPr>
              <w:t>seq</w:t>
            </w:r>
            <w:r>
              <w:rPr>
                <w:sz w:val="19"/>
              </w:rPr>
              <w:t xml:space="preserve"> at both ends on one clock, 1 ms apart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One packet, both ends</w:t>
      </w:r>
    </w:p>
    <w:p>
      <w:r>
        <w:t>Every capture in §8.3 to §8.7 reads one serial port at a time, which means the node's "link-layer ack received" and the gateway's "ESP-NOW rx" are two separate observations that have to be trusted to refer to the same packet. This test removes that gap: a single process polled both ports and timestamped each line against one clock.</w:t>
      </w:r>
    </w:p>
    <w:p>
      <w:pPr>
        <w:spacing w:before="120" w:after="120"/>
        <w:ind w:left="360"/>
      </w:pPr>
      <w:r>
        <w:rPr>
          <w:rFonts w:ascii="Consolas" w:hAnsi="Consolas"/>
          <w:sz w:val="17"/>
        </w:rPr>
        <w:t>13:20:24.754  BOARD 1 node     [NODE] tx seq=12 temperature=23.8 C humidity=44.0 %</w:t>
        <w:br/>
        <w:t>13:20:24.757  BOARD 1 node     [NODE] send to 44:1D:64:F4:F1:C8 : OK x1 (link-layer ack received)</w:t>
        <w:br/>
        <w:t>13:20:24.758  BOARD 2 gateway  [GATEWAY] ESP-NOW rx from 44:1D:64:F5:FA:24  node=1 seq=12 ... ttl=3 hops=0</w:t>
      </w:r>
    </w:p>
    <w:p>
      <w:r>
        <w:t xml:space="preserve">The gateway logs the arrival </w:t>
      </w:r>
      <w:r>
        <w:rPr>
          <w:b/>
        </w:rPr>
        <w:t>one millisecond</w:t>
      </w:r>
      <w:r>
        <w:t xml:space="preserve"> after the node logs the acknowledgement, and the sequence numbers match. Three things follow. The ack the node reports is a real delivery rather than an optimistic local result; the end-to-end radio latency is on the order of a millisecond, which is consistent with a link-layer acknowledged unicast and far below the 5 s send interval; and </w:t>
      </w:r>
      <w:r>
        <w:rPr>
          <w:rFonts w:ascii="Consolas" w:hAnsi="Consolas"/>
          <w:sz w:val="19"/>
        </w:rPr>
        <w:t>node1_sequence</w:t>
      </w:r>
      <w:r>
        <w:t xml:space="preserve"> in the subsequent MQTT payload equals the sequence just transmitted, so the aggregation is carrying the current reading rather than a cached one.</w:t>
      </w:r>
    </w:p>
    <w:p>
      <w:r>
        <w:t xml:space="preserve">Counters stayed at </w:t>
      </w:r>
      <w:r>
        <w:rPr>
          <w:rFonts w:ascii="Consolas" w:hAnsi="Consolas"/>
          <w:sz w:val="19"/>
        </w:rPr>
        <w:t>invalid=0</w:t>
      </w:r>
      <w:r>
        <w:t xml:space="preserve">, </w:t>
      </w:r>
      <w:r>
        <w:rPr>
          <w:rFonts w:ascii="Consolas" w:hAnsi="Consolas"/>
          <w:sz w:val="19"/>
        </w:rPr>
        <w:t>wrong_sender=0</w:t>
      </w:r>
      <w:r>
        <w:t xml:space="preserve">, </w:t>
      </w:r>
      <w:r>
        <w:rPr>
          <w:rFonts w:ascii="Consolas" w:hAnsi="Consolas"/>
          <w:sz w:val="19"/>
        </w:rPr>
        <w:t>duplicates=0</w:t>
      </w:r>
      <w:r>
        <w:t xml:space="preserve"> for the whole capture. The full log is </w:t>
      </w:r>
      <w:r>
        <w:rPr>
          <w:rFonts w:ascii="Consolas" w:hAnsi="Consolas"/>
          <w:sz w:val="19"/>
        </w:rPr>
        <w:t>evidence/11_both_boards_simultaneous.txt</w:t>
      </w:r>
      <w:r>
        <w:t>.</w:t>
      </w:r>
    </w:p>
    <w:p>
      <w:r>
        <w:t xml:space="preserve">The capture is also a record of the failure that preceded it. The first attempt recorded the node reporting </w:t>
      </w:r>
      <w:r>
        <w:rPr>
          <w:rFonts w:ascii="Consolas" w:hAnsi="Consolas"/>
          <w:sz w:val="19"/>
        </w:rPr>
        <w:t>FAILED (no ack)</w:t>
      </w:r>
      <w:r>
        <w:t xml:space="preserve"> with </w:t>
      </w:r>
      <w:r>
        <w:rPr>
          <w:rFonts w:ascii="Consolas" w:hAnsi="Consolas"/>
          <w:sz w:val="19"/>
        </w:rPr>
        <w:t>total_fail=14</w:t>
      </w:r>
      <w:r>
        <w:t xml:space="preserve"> while the gateway published its own readings normally with </w:t>
      </w:r>
      <w:r>
        <w:rPr>
          <w:rFonts w:ascii="Consolas" w:hAnsi="Consolas"/>
          <w:sz w:val="19"/>
        </w:rPr>
        <w:t>node1_online=false</w:t>
      </w:r>
      <w:r>
        <w:t xml:space="preserve"> — the channel-roam signature described in §9, encountered again, with the gateway on channel 6 and the node still pinned to 1 from the previous session. Recovery was the documented procedure: read the channel from the gateway's boot banner, update </w:t>
      </w:r>
      <w:r>
        <w:rPr>
          <w:rFonts w:ascii="Consolas" w:hAnsi="Consolas"/>
          <w:sz w:val="19"/>
        </w:rPr>
        <w:t>ESPNOW_CHANNEL</w:t>
      </w:r>
      <w:r>
        <w:t>, re-upload to the node.</w:t>
      </w:r>
    </w:p>
    <w:p>
      <w:pPr>
        <w:pStyle w:val="Heading3"/>
      </w:pPr>
      <w:r>
        <w:t>8.9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8.10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pPr>
        <w:jc w:val="center"/>
      </w:pPr>
      <w:r>
        <w:drawing>
          <wp:inline xmlns:a="http://schemas.openxmlformats.org/drawingml/2006/main" xmlns:pic="http://schemas.openxmlformats.org/drawingml/2006/picture">
            <wp:extent cx="5486400" cy="2424793"/>
            <wp:docPr id="12" name="Picture 12"/>
            <wp:cNvGraphicFramePr>
              <a:graphicFrameLocks noChangeAspect="1"/>
            </wp:cNvGraphicFramePr>
            <a:graphic>
              <a:graphicData uri="http://schemas.openxmlformats.org/drawingml/2006/picture">
                <pic:pic>
                  <pic:nvPicPr>
                    <pic:cNvPr id="0" name="dashboard_08_mesh_both_traces.jpg"/>
                    <pic:cNvPicPr/>
                  </pic:nvPicPr>
                  <pic:blipFill>
                    <a:blip r:embed="rId20"/>
                    <a:stretch>
                      <a:fillRect/>
                    </a:stretch>
                  </pic:blipFill>
                  <pic:spPr>
                    <a:xfrm>
                      <a:off x="0" y="0"/>
                      <a:ext cx="5486400" cy="2424793"/>
                    </a:xfrm>
                    <a:prstGeom prst="rect"/>
                  </pic:spPr>
                </pic:pic>
              </a:graphicData>
            </a:graphic>
          </wp:inline>
        </w:drawing>
      </w:r>
    </w:p>
    <w:p>
      <w:pPr>
        <w:spacing w:after="280"/>
        <w:jc w:val="center"/>
      </w:pPr>
      <w:r>
        <w:rPr>
          <w:b/>
          <w:sz w:val="19"/>
        </w:rPr>
        <w:t>Figure 12</w:t>
      </w:r>
      <w:r>
        <w:rPr>
          <w:sz w:val="19"/>
        </w:rPr>
        <w:t xml:space="preserve"> — The second dashboard, *P1 ESP-NOW Sensor Mesh*, which exists to put the two sources side by side rather than to summarise device health. Blue is Board 2's own sensor at 24.2 °C; green is Board 1, arriving by radio, at 23.7 °C. The green trace begins part way along because that is when the link was restored after the channel roam described in §8.8 — the gap is the outage, not a rendering artefact.</w:t>
      </w:r>
    </w:p>
    <w:p>
      <w:r>
        <w:t xml:space="preserve">An animated capture of the dashboard responding to a command is included as </w:t>
      </w:r>
      <w:r>
        <w:rPr>
          <w:rFonts w:ascii="Consolas" w:hAnsi="Consolas"/>
          <w:sz w:val="19"/>
        </w:rPr>
        <w:t>evidence/video_01_thingsboard_rpc_demo.gif</w:t>
      </w:r>
      <w:r>
        <w:t xml:space="preserve">: live telemetry, the *Fast publish (2 s)* button being pressed, and </w:t>
      </w:r>
      <w:r>
        <w:rPr>
          <w:rFonts w:ascii="Consolas" w:hAnsi="Consolas"/>
          <w:sz w:val="19"/>
        </w:rPr>
        <w:t>publish_interval_ms</w:t>
      </w:r>
      <w:r>
        <w:t xml:space="preserve"> and </w:t>
      </w:r>
      <w:r>
        <w:rPr>
          <w:rFonts w:ascii="Consolas" w:hAnsi="Consolas"/>
          <w:sz w:val="19"/>
        </w:rPr>
        <w:t>rpc_handled</w:t>
      </w:r>
      <w:r>
        <w:t xml:space="preserve"> changing in the device's own telemetry as a result.</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Video evidence</w:t>
      </w:r>
    </w:p>
    <w:p>
      <w:r>
        <w:t>The demonstration video is submitted with this portfolio rather than linked, so it needs no external hosting and no sign-in to view.</w:t>
      </w:r>
    </w:p>
    <w:p>
      <w:r>
        <w:rPr>
          <w:b/>
        </w:rPr>
        <w:t>`P1_demo_cloud_and_hardware.mp4`</w:t>
      </w:r>
      <w:r>
        <w:t xml:space="preserve"> — 1280×720, 2 min 10 s, 9.7 MB, with narration. Also in the repository at </w:t>
      </w:r>
      <w:r>
        <w:rPr>
          <w:rFonts w:ascii="Consolas" w:hAnsi="Consolas"/>
          <w:sz w:val="19"/>
        </w:rPr>
        <w:t>evidence/P1_demo_cloud_and_hardware.mp4</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From</w:t>
            </w:r>
          </w:p>
        </w:tc>
        <w:tc>
          <w:tcPr>
            <w:tcW w:type="dxa" w:w="2880"/>
          </w:tcPr>
          <w:p>
            <w:pPr>
              <w:spacing w:after="40"/>
            </w:pPr>
            <w:r>
              <w:rPr>
                <w:b/>
                <w:sz w:val="19"/>
              </w:rPr>
            </w:r>
            <w:r>
              <w:rPr>
                <w:b/>
                <w:sz w:val="19"/>
              </w:rPr>
              <w:t>Segment</w:t>
            </w:r>
          </w:p>
        </w:tc>
        <w:tc>
          <w:tcPr>
            <w:tcW w:type="dxa" w:w="2880"/>
          </w:tcPr>
          <w:p>
            <w:pPr>
              <w:spacing w:after="40"/>
            </w:pPr>
            <w:r>
              <w:rPr>
                <w:b/>
                <w:sz w:val="19"/>
              </w:rPr>
            </w:r>
            <w:r>
              <w:rPr>
                <w:b/>
                <w:sz w:val="19"/>
              </w:rPr>
              <w:t>Contents</w:t>
            </w:r>
          </w:p>
        </w:tc>
      </w:tr>
      <w:tr>
        <w:tc>
          <w:tcPr>
            <w:tcW w:type="dxa" w:w="2880"/>
          </w:tcPr>
          <w:p>
            <w:pPr>
              <w:spacing w:after="40"/>
            </w:pPr>
            <w:r>
              <w:rPr>
                <w:sz w:val="19"/>
              </w:rPr>
            </w:r>
            <w:r>
              <w:rPr>
                <w:sz w:val="19"/>
              </w:rPr>
              <w:t>0:00</w:t>
            </w:r>
          </w:p>
        </w:tc>
        <w:tc>
          <w:tcPr>
            <w:tcW w:type="dxa" w:w="2880"/>
          </w:tcPr>
          <w:p>
            <w:pPr>
              <w:spacing w:after="40"/>
            </w:pPr>
            <w:r>
              <w:rPr>
                <w:sz w:val="19"/>
              </w:rPr>
            </w:r>
            <w:r>
              <w:rPr>
                <w:sz w:val="19"/>
              </w:rPr>
              <w:t>Title</w:t>
            </w:r>
          </w:p>
        </w:tc>
        <w:tc>
          <w:tcPr>
            <w:tcW w:type="dxa" w:w="2880"/>
          </w:tcPr>
          <w:p>
            <w:pPr>
              <w:spacing w:after="40"/>
            </w:pPr>
            <w:r>
              <w:rPr>
                <w:sz w:val="19"/>
              </w:rPr>
            </w:r>
          </w:p>
        </w:tc>
      </w:tr>
      <w:tr>
        <w:tc>
          <w:tcPr>
            <w:tcW w:type="dxa" w:w="2880"/>
          </w:tcPr>
          <w:p>
            <w:pPr>
              <w:spacing w:after="40"/>
            </w:pPr>
            <w:r>
              <w:rPr>
                <w:sz w:val="19"/>
              </w:rPr>
            </w:r>
            <w:r>
              <w:rPr>
                <w:sz w:val="19"/>
              </w:rPr>
              <w:t>0:08</w:t>
            </w:r>
          </w:p>
        </w:tc>
        <w:tc>
          <w:tcPr>
            <w:tcW w:type="dxa" w:w="2880"/>
          </w:tcPr>
          <w:p>
            <w:pPr>
              <w:spacing w:after="40"/>
            </w:pPr>
            <w:r>
              <w:rPr>
                <w:sz w:val="19"/>
              </w:rPr>
            </w:r>
            <w:r>
              <w:rPr>
                <w:sz w:val="19"/>
              </w:rPr>
              <w:t>Hardware</w:t>
            </w:r>
          </w:p>
        </w:tc>
        <w:tc>
          <w:tcPr>
            <w:tcW w:type="dxa" w:w="2880"/>
          </w:tcPr>
          <w:p>
            <w:pPr>
              <w:spacing w:after="40"/>
            </w:pPr>
            <w:r>
              <w:rPr>
                <w:sz w:val="19"/>
              </w:rPr>
            </w:r>
            <w:r>
              <w:rPr>
                <w:sz w:val="19"/>
              </w:rPr>
              <w:t>Both boards on the bench, each separately powered, with no wire between them</w:t>
            </w:r>
          </w:p>
        </w:tc>
      </w:tr>
      <w:tr>
        <w:tc>
          <w:tcPr>
            <w:tcW w:type="dxa" w:w="2880"/>
          </w:tcPr>
          <w:p>
            <w:pPr>
              <w:spacing w:after="40"/>
            </w:pPr>
            <w:r>
              <w:rPr>
                <w:sz w:val="19"/>
              </w:rPr>
            </w:r>
            <w:r>
              <w:rPr>
                <w:sz w:val="19"/>
              </w:rPr>
              <w:t>0:23</w:t>
            </w:r>
          </w:p>
        </w:tc>
        <w:tc>
          <w:tcPr>
            <w:tcW w:type="dxa" w:w="2880"/>
          </w:tcPr>
          <w:p>
            <w:pPr>
              <w:spacing w:after="40"/>
            </w:pPr>
            <w:r>
              <w:rPr>
                <w:sz w:val="19"/>
              </w:rPr>
            </w:r>
            <w:r>
              <w:rPr>
                <w:sz w:val="19"/>
              </w:rPr>
              <w:t>Cloud</w:t>
            </w:r>
          </w:p>
        </w:tc>
        <w:tc>
          <w:tcPr>
            <w:tcW w:type="dxa" w:w="2880"/>
          </w:tcPr>
          <w:p>
            <w:pPr>
              <w:spacing w:after="40"/>
            </w:pPr>
            <w:r>
              <w:rPr>
                <w:sz w:val="19"/>
              </w:rPr>
            </w:r>
            <w:r>
              <w:rPr>
                <w:sz w:val="19"/>
              </w:rPr>
              <w:t>Gateway online, node communication age counting in milliseconds</w:t>
            </w:r>
          </w:p>
        </w:tc>
      </w:tr>
      <w:tr>
        <w:tc>
          <w:tcPr>
            <w:tcW w:type="dxa" w:w="2880"/>
          </w:tcPr>
          <w:p>
            <w:pPr>
              <w:spacing w:after="40"/>
            </w:pPr>
            <w:r>
              <w:rPr>
                <w:sz w:val="19"/>
              </w:rPr>
            </w:r>
            <w:r>
              <w:rPr>
                <w:sz w:val="19"/>
              </w:rPr>
              <w:t>0:30</w:t>
            </w:r>
          </w:p>
        </w:tc>
        <w:tc>
          <w:tcPr>
            <w:tcW w:type="dxa" w:w="2880"/>
          </w:tcPr>
          <w:p>
            <w:pPr>
              <w:spacing w:after="40"/>
            </w:pPr>
            <w:r>
              <w:rPr>
                <w:sz w:val="19"/>
              </w:rPr>
            </w:r>
            <w:r>
              <w:rPr>
                <w:sz w:val="19"/>
              </w:rPr>
              <w:t>Walkthrough</w:t>
            </w:r>
          </w:p>
        </w:tc>
        <w:tc>
          <w:tcPr>
            <w:tcW w:type="dxa" w:w="2880"/>
          </w:tcPr>
          <w:p>
            <w:pPr>
              <w:spacing w:after="40"/>
            </w:pPr>
            <w:r>
              <w:rPr>
                <w:sz w:val="19"/>
              </w:rPr>
            </w:r>
            <w:r>
              <w:rPr>
                <w:sz w:val="19"/>
              </w:rPr>
              <w:t xml:space="preserve">The RPC command sent and the device reporting the change back; the </w:t>
            </w:r>
            <w:r>
              <w:rPr>
                <w:rFonts w:ascii="Consolas" w:hAnsi="Consolas"/>
                <w:sz w:val="19"/>
              </w:rPr>
              <w:t>node1_*</w:t>
            </w:r>
            <w:r>
              <w:rPr>
                <w:sz w:val="19"/>
              </w:rPr>
              <w:t xml:space="preserve"> keys; both sensors on one chart</w:t>
            </w:r>
          </w:p>
        </w:tc>
      </w:tr>
      <w:tr>
        <w:tc>
          <w:tcPr>
            <w:tcW w:type="dxa" w:w="2880"/>
          </w:tcPr>
          <w:p>
            <w:pPr>
              <w:spacing w:after="40"/>
            </w:pPr>
            <w:r>
              <w:rPr>
                <w:sz w:val="19"/>
              </w:rPr>
            </w:r>
            <w:r>
              <w:rPr>
                <w:sz w:val="19"/>
              </w:rPr>
              <w:t>1:03</w:t>
            </w:r>
          </w:p>
        </w:tc>
        <w:tc>
          <w:tcPr>
            <w:tcW w:type="dxa" w:w="2880"/>
          </w:tcPr>
          <w:p>
            <w:pPr>
              <w:spacing w:after="40"/>
            </w:pPr>
            <w:r>
              <w:rPr>
                <w:sz w:val="19"/>
              </w:rPr>
            </w:r>
            <w:r>
              <w:rPr>
                <w:sz w:val="19"/>
              </w:rPr>
              <w:t>At the bench</w:t>
            </w:r>
          </w:p>
        </w:tc>
        <w:tc>
          <w:tcPr>
            <w:tcW w:type="dxa" w:w="2880"/>
          </w:tcPr>
          <w:p>
            <w:pPr>
              <w:spacing w:after="40"/>
            </w:pPr>
            <w:r>
              <w:rPr>
                <w:sz w:val="19"/>
              </w:rPr>
            </w:r>
            <w:r>
              <w:rPr>
                <w:sz w:val="19"/>
              </w:rPr>
              <w:t>The dashboard running beside the boards it reports on</w:t>
            </w:r>
          </w:p>
        </w:tc>
      </w:tr>
      <w:tr>
        <w:tc>
          <w:tcPr>
            <w:tcW w:type="dxa" w:w="2880"/>
          </w:tcPr>
          <w:p>
            <w:pPr>
              <w:spacing w:after="40"/>
            </w:pPr>
            <w:r>
              <w:rPr>
                <w:sz w:val="19"/>
              </w:rPr>
            </w:r>
            <w:r>
              <w:rPr>
                <w:sz w:val="19"/>
              </w:rPr>
              <w:t>1:25</w:t>
            </w:r>
          </w:p>
        </w:tc>
        <w:tc>
          <w:tcPr>
            <w:tcW w:type="dxa" w:w="2880"/>
          </w:tcPr>
          <w:p>
            <w:pPr>
              <w:spacing w:after="40"/>
            </w:pPr>
            <w:r>
              <w:rPr>
                <w:sz w:val="19"/>
              </w:rPr>
            </w:r>
            <w:r>
              <w:rPr>
                <w:sz w:val="19"/>
              </w:rPr>
              <w:t>Disconnection</w:t>
            </w:r>
          </w:p>
        </w:tc>
        <w:tc>
          <w:tcPr>
            <w:tcW w:type="dxa" w:w="2880"/>
          </w:tcPr>
          <w:p>
            <w:pPr>
              <w:spacing w:after="40"/>
            </w:pPr>
            <w:r>
              <w:rPr>
                <w:sz w:val="19"/>
              </w:rPr>
            </w:r>
            <w:r>
              <w:rPr>
                <w:sz w:val="19"/>
              </w:rPr>
              <w:t>Board 1's USB power pulled, the intervention behind §8.5</w:t>
            </w:r>
          </w:p>
        </w:tc>
      </w:tr>
      <w:tr>
        <w:tc>
          <w:tcPr>
            <w:tcW w:type="dxa" w:w="2880"/>
          </w:tcPr>
          <w:p>
            <w:pPr>
              <w:spacing w:after="40"/>
            </w:pPr>
            <w:r>
              <w:rPr>
                <w:sz w:val="19"/>
              </w:rPr>
            </w:r>
            <w:r>
              <w:rPr>
                <w:sz w:val="19"/>
              </w:rPr>
              <w:t>1:41</w:t>
            </w:r>
          </w:p>
        </w:tc>
        <w:tc>
          <w:tcPr>
            <w:tcW w:type="dxa" w:w="2880"/>
          </w:tcPr>
          <w:p>
            <w:pPr>
              <w:spacing w:after="40"/>
            </w:pPr>
            <w:r>
              <w:rPr>
                <w:sz w:val="19"/>
              </w:rPr>
            </w:r>
            <w:r>
              <w:rPr>
                <w:sz w:val="19"/>
              </w:rPr>
              <w:t>Round trip</w:t>
            </w:r>
          </w:p>
        </w:tc>
        <w:tc>
          <w:tcPr>
            <w:tcW w:type="dxa" w:w="2880"/>
          </w:tcPr>
          <w:p>
            <w:pPr>
              <w:spacing w:after="40"/>
            </w:pPr>
            <w:r>
              <w:rPr>
                <w:sz w:val="19"/>
              </w:rPr>
            </w:r>
            <w:r>
              <w:rPr>
                <w:rFonts w:ascii="Consolas" w:hAnsi="Consolas"/>
                <w:sz w:val="19"/>
              </w:rPr>
              <w:t>publish_interval_ms</w:t>
            </w:r>
            <w:r>
              <w:rPr>
                <w:sz w:val="19"/>
              </w:rPr>
              <w:t xml:space="preserve"> and </w:t>
            </w:r>
            <w:r>
              <w:rPr>
                <w:rFonts w:ascii="Consolas" w:hAnsi="Consolas"/>
                <w:sz w:val="19"/>
              </w:rPr>
              <w:t>rpc_handled</w:t>
            </w:r>
            <w:r>
              <w:rPr>
                <w:sz w:val="19"/>
              </w:rPr>
              <w:t xml:space="preserve"> after the command</w:t>
            </w:r>
          </w:p>
        </w:tc>
      </w:tr>
      <w:tr>
        <w:tc>
          <w:tcPr>
            <w:tcW w:type="dxa" w:w="2880"/>
          </w:tcPr>
          <w:p>
            <w:pPr>
              <w:spacing w:after="40"/>
            </w:pPr>
            <w:r>
              <w:rPr>
                <w:sz w:val="19"/>
              </w:rPr>
            </w:r>
            <w:r>
              <w:rPr>
                <w:sz w:val="19"/>
              </w:rPr>
              <w:t>1:56</w:t>
            </w:r>
          </w:p>
        </w:tc>
        <w:tc>
          <w:tcPr>
            <w:tcW w:type="dxa" w:w="2880"/>
          </w:tcPr>
          <w:p>
            <w:pPr>
              <w:spacing w:after="40"/>
            </w:pPr>
            <w:r>
              <w:rPr>
                <w:sz w:val="19"/>
              </w:rPr>
            </w:r>
            <w:r>
              <w:rPr>
                <w:sz w:val="19"/>
              </w:rPr>
              <w:t>Close</w:t>
            </w:r>
          </w:p>
        </w:tc>
        <w:tc>
          <w:tcPr>
            <w:tcW w:type="dxa" w:w="2880"/>
          </w:tcPr>
          <w:p>
            <w:pPr>
              <w:spacing w:after="40"/>
            </w:pPr>
            <w:r>
              <w:rPr>
                <w:sz w:val="19"/>
              </w:rPr>
            </w:r>
          </w:p>
        </w:tc>
      </w:tr>
    </w:tbl>
    <w:p/>
    <w:p>
      <w:r>
        <w:t xml:space="preserve">Subtitles are burned into the frames. The two source screen captures are also kept separately as </w:t>
      </w:r>
      <w:r>
        <w:rPr>
          <w:rFonts w:ascii="Consolas" w:hAnsi="Consolas"/>
          <w:sz w:val="19"/>
        </w:rPr>
        <w:t>evidence/video_02_thingsboard_walkthrough.gif</w:t>
      </w:r>
      <w:r>
        <w:t xml:space="preserve"> and </w:t>
      </w:r>
      <w:r>
        <w:rPr>
          <w:rFonts w:ascii="Consolas" w:hAnsi="Consolas"/>
          <w:sz w:val="19"/>
        </w:rPr>
        <w:t>evidence/video_01_thingsboard_rpc_demo.gif</w:t>
      </w:r>
      <w:r>
        <w:t>.</w:t>
      </w:r>
    </w:p>
    <w:p>
      <w:r>
        <w:t xml:space="preserve">What the assembled video does </w:t>
      </w:r>
      <w:r>
        <w:rPr>
          <w:b/>
        </w:rPr>
        <w:t>not</w:t>
      </w:r>
      <w:r>
        <w:t xml:space="preserve"> contain is the physical interventions: warming the sensor by hand, and disconnecting and restoring Board 1. Those produce the results reported in §8.5 and §8.6 and are filmed separately. </w:t>
      </w:r>
      <w:r>
        <w:rPr>
          <w:rFonts w:ascii="Consolas" w:hAnsi="Consolas"/>
          <w:sz w:val="19"/>
        </w:rPr>
        <w:t>VOICEOVER_SCRIPT.md</w:t>
      </w:r>
      <w:r>
        <w:t xml:space="preserve"> carries the narration script timed against the segments above.</w:t>
      </w:r>
    </w:p>
    <w:p>
      <w:r>
        <w:rPr>
          <w:rFonts w:ascii="Consolas" w:hAnsi="Consolas"/>
          <w:sz w:val="19"/>
        </w:rPr>
        <w:t>DEMO_PLAN.md</w:t>
      </w:r>
      <w:r>
        <w:t xml:space="preserve"> in the repository carries the runsheet these recordings follow, including the pre-flight checks and the intended order of the demonstration steps.</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