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 partner name ]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1" name="Picture 1"/>
            <wp:cNvGraphicFramePr>
              <a:graphicFrameLocks noChangeAspect="1"/>
            </wp:cNvGraphicFramePr>
            <a:graphic>
              <a:graphicData uri="http://schemas.openxmlformats.org/drawingml/2006/picture">
                <pic:pic>
                  <pic:nvPicPr>
                    <pic:cNvPr id="0" name="photo_01_both_boards_no_wire.jpeg"/>
                    <pic:cNvPicPr/>
                  </pic:nvPicPr>
                  <pic:blipFill>
                    <a:blip r:embed="rId9"/>
                    <a:stretch>
                      <a:fillRect/>
                    </a:stretch>
                  </pic:blipFill>
                  <pic:spPr>
                    <a:xfrm>
                      <a:off x="0" y="0"/>
                      <a:ext cx="3291840" cy="4389483"/>
                    </a:xfrm>
                    <a:prstGeom prst="rect"/>
                  </pic:spPr>
                </pic:pic>
              </a:graphicData>
            </a:graphic>
          </wp:inline>
        </w:drawing>
      </w:r>
    </w:p>
    <w:p>
      <w:pPr>
        <w:spacing w:after="280"/>
        <w:jc w:val="center"/>
      </w:pPr>
      <w:r>
        <w:rPr>
          <w:b/>
          <w:sz w:val="19"/>
        </w:rPr>
        <w:t>Figure 1</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2_wiring_detail_dht11.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3_board_on_breadboard.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7.7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7.8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7.8.1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7.8.2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§7.8.3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7.8.3 The sender-authentication problem</w:t>
      </w:r>
    </w:p>
    <w:p>
      <w:r>
        <w:t>This is worth setting out in full, because it is the most instructive weakness in the design.</w:t>
      </w:r>
    </w:p>
    <w:p>
      <w:r>
        <w:t xml:space="preserve">The gateway deliberately registers no ESP-NOW peers and uses no encryption, because that is what allows it to accept frames without a prior handshake. The consequence is that the </w:t>
      </w:r>
      <w:r>
        <w:rPr>
          <w:rFonts w:ascii="Consolas" w:hAnsi="Consolas"/>
          <w:sz w:val="19"/>
        </w:rPr>
        <w:t>src_id</w:t>
      </w:r>
      <w:r>
        <w:t xml:space="preserve"> field inside the packet is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7.8.4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(§7.6),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7.8.5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Cloud dashboard</w:t>
      </w:r>
    </w:p>
    <w:p>
      <w:pPr>
        <w:jc w:val="center"/>
      </w:pPr>
      <w:r>
        <w:drawing>
          <wp:inline xmlns:a="http://schemas.openxmlformats.org/drawingml/2006/main" xmlns:pic="http://schemas.openxmlformats.org/drawingml/2006/picture">
            <wp:extent cx="5486400" cy="3606614"/>
            <wp:docPr id="4" name="Picture 4"/>
            <wp:cNvGraphicFramePr>
              <a:graphicFrameLocks noChangeAspect="1"/>
            </wp:cNvGraphicFramePr>
            <a:graphic>
              <a:graphicData uri="http://schemas.openxmlformats.org/drawingml/2006/picture">
                <pic:pic>
                  <pic:nvPicPr>
                    <pic:cNvPr id="0" name="dashboard_01_temperature_both_boards.jpg"/>
                    <pic:cNvPicPr/>
                  </pic:nvPicPr>
                  <pic:blipFill>
                    <a:blip r:embed="rId12"/>
                    <a:stretch>
                      <a:fillRect/>
                    </a:stretch>
                  </pic:blipFill>
                  <pic:spPr>
                    <a:xfrm>
                      <a:off x="0" y="0"/>
                      <a:ext cx="5486400" cy="3606614"/>
                    </a:xfrm>
                    <a:prstGeom prst="rect"/>
                  </pic:spPr>
                </pic:pic>
              </a:graphicData>
            </a:graphic>
          </wp:inline>
        </w:drawing>
      </w:r>
    </w:p>
    <w:p>
      <w:pPr>
        <w:spacing w:after="280"/>
        <w:jc w:val="center"/>
      </w:pPr>
      <w:r>
        <w:rPr>
          <w:b/>
          <w:sz w:val="19"/>
        </w:rPr>
        <w:t>Figure 4</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2_humidity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3_latest_telemetry_10_key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4_device_state_active.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The device registered as </w:t>
      </w:r>
      <w:r>
        <w:rPr>
          <w:b/>
          <w:sz w:val="19"/>
        </w:rPr>
        <w:t>Active</w:t>
      </w:r>
      <w:r>
        <w:rPr>
          <w:sz w:val="19"/>
        </w:rPr>
        <w:t>. ThingsBoard sets this state only on a live connection, so the badge is independent confirmation of cloud connectivity.</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§7.8.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Encrypted ESP-NOW</w:t>
      </w:r>
      <w:r>
        <w:t xml:space="preserve"> and </w:t>
      </w:r>
      <w:r>
        <w:rPr>
          <w:b/>
        </w:rPr>
        <w:t>TLS MQTT on port 8883</w:t>
      </w:r>
      <w:r>
        <w:t>, closing the two plaintext paths.</w:t>
      </w:r>
    </w:p>
    <w:p>
      <w:pPr>
        <w:pStyle w:val="ListNumber"/>
      </w:pPr>
      <w:r>
        <w:rPr>
          <w:b/>
        </w:rPr>
        <w:t>Credentials in NVS</w:t>
      </w:r>
      <w:r>
        <w:t>, provisioned at first boot rather than compiled in.</w:t>
      </w:r>
    </w:p>
    <w:p>
      <w:pPr>
        <w:pStyle w:val="ListNumber"/>
      </w:pPr>
      <w:r>
        <w:rPr>
          <w:b/>
        </w:rPr>
        <w:t>Automatic channel recovery</w:t>
      </w:r>
      <w:r>
        <w:t xml:space="preserve"> — the gateway could publish its current channel, and nodes could scan for the gateway rather than being hard-coded to one channel.</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