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IA736001 Internet of Things and Cloud Computing </w:t>
      </w:r>
      <w:r>
        <w:rPr>
          <w:b/>
        </w:rPr>
        <w:t>Authors:</w:t>
      </w:r>
      <w:r>
        <w:t xml:space="preserve"> Bhanu Gupta (100012452) and Roshan Aryal (1000123440) </w:t>
      </w:r>
      <w:r>
        <w:rPr>
          <w:b/>
        </w:rPr>
        <w:t>Date:</w:t>
      </w:r>
      <w:r>
        <w:t xml:space="preserve"> 3 August 2026 </w:t>
      </w:r>
      <w:r>
        <w:rPr>
          <w:b/>
        </w:rPr>
        <w:t>Contributions:</w:t>
      </w:r>
      <w:r>
        <w:t xml:space="preserve"> Both authors contributed equally, a 50/50 split across design, implementation, hardware testing and documentation. Section 11.1 is a joint reflection.</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pPr>
        <w:pStyle w:val="Heading3"/>
      </w:pPr>
      <w:r>
        <w:t>1.1 Relationship to the Case Study Analysis</w:t>
      </w:r>
    </w:p>
    <w:p>
      <w:r>
        <w:t>Part 1 of this assessment analysed the proposed system before it was built. This portfolio reports what was built, and the two align on every substantive point.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Case Study Analysis proposed</w:t>
            </w:r>
          </w:p>
        </w:tc>
        <w:tc>
          <w:tcPr>
            <w:tcW w:type="dxa" w:w="4320"/>
          </w:tcPr>
          <w:p>
            <w:pPr>
              <w:spacing w:after="40"/>
            </w:pPr>
            <w:r>
              <w:rPr>
                <w:b/>
                <w:sz w:val="19"/>
              </w:rPr>
            </w:r>
            <w:r>
              <w:rPr>
                <w:b/>
                <w:sz w:val="19"/>
              </w:rPr>
              <w:t>This implementation delivers</w:t>
            </w:r>
          </w:p>
        </w:tc>
      </w:tr>
      <w:tr>
        <w:tc>
          <w:tcPr>
            <w:tcW w:type="dxa" w:w="4320"/>
          </w:tcPr>
          <w:p>
            <w:pPr>
              <w:spacing w:after="40"/>
            </w:pPr>
            <w:r>
              <w:rPr>
                <w:sz w:val="19"/>
              </w:rPr>
            </w:r>
            <w:r>
              <w:rPr>
                <w:sz w:val="19"/>
              </w:rPr>
              <w:t>Two ESP32 boards, one sensing node and one edge gateway</w:t>
            </w:r>
          </w:p>
        </w:tc>
        <w:tc>
          <w:tcPr>
            <w:tcW w:type="dxa" w:w="4320"/>
          </w:tcPr>
          <w:p>
            <w:pPr>
              <w:spacing w:after="40"/>
            </w:pPr>
            <w:r>
              <w:rPr>
                <w:sz w:val="19"/>
              </w:rPr>
            </w:r>
            <w:r>
              <w:rPr>
                <w:sz w:val="19"/>
              </w:rPr>
              <w:t>Board 1 (</w:t>
            </w:r>
            <w:r>
              <w:rPr>
                <w:rFonts w:ascii="Consolas" w:hAnsi="Consolas"/>
                <w:sz w:val="19"/>
              </w:rPr>
              <w:t>44:1D:64:F5:FA:24</w:t>
            </w:r>
            <w:r>
              <w:rPr>
                <w:sz w:val="19"/>
              </w:rPr>
              <w:t>) and Board 2 (</w:t>
            </w:r>
            <w:r>
              <w:rPr>
                <w:rFonts w:ascii="Consolas" w:hAnsi="Consolas"/>
                <w:sz w:val="19"/>
              </w:rPr>
              <w:t>44:1D:64:F4:F1:C8</w:t>
            </w:r>
            <w:r>
              <w:rPr>
                <w:sz w:val="19"/>
              </w:rPr>
              <w:t>), §2</w:t>
            </w:r>
          </w:p>
        </w:tc>
      </w:tr>
      <w:tr>
        <w:tc>
          <w:tcPr>
            <w:tcW w:type="dxa" w:w="4320"/>
          </w:tcPr>
          <w:p>
            <w:pPr>
              <w:spacing w:after="40"/>
            </w:pPr>
            <w:r>
              <w:rPr>
                <w:sz w:val="19"/>
              </w:rPr>
            </w:r>
            <w:r>
              <w:rPr>
                <w:sz w:val="19"/>
              </w:rPr>
              <w:t>Three-tier arrangement: node, edge gateway, cloud</w:t>
            </w:r>
          </w:p>
        </w:tc>
        <w:tc>
          <w:tcPr>
            <w:tcW w:type="dxa" w:w="4320"/>
          </w:tcPr>
          <w:p>
            <w:pPr>
              <w:spacing w:after="40"/>
            </w:pPr>
            <w:r>
              <w:rPr>
                <w:sz w:val="19"/>
              </w:rPr>
            </w:r>
            <w:r>
              <w:rPr>
                <w:sz w:val="19"/>
              </w:rPr>
              <w:t>§4, with the gateway merging before anything leaves the network</w:t>
            </w:r>
          </w:p>
        </w:tc>
      </w:tr>
      <w:tr>
        <w:tc>
          <w:tcPr>
            <w:tcW w:type="dxa" w:w="4320"/>
          </w:tcPr>
          <w:p>
            <w:pPr>
              <w:spacing w:after="40"/>
            </w:pPr>
            <w:r>
              <w:rPr>
                <w:sz w:val="19"/>
              </w:rPr>
            </w:r>
            <w:r>
              <w:rPr>
                <w:sz w:val="19"/>
              </w:rPr>
              <w:t>ESP-NOW on the local leg, MQTT to the cloud</w:t>
            </w:r>
          </w:p>
        </w:tc>
        <w:tc>
          <w:tcPr>
            <w:tcW w:type="dxa" w:w="4320"/>
          </w:tcPr>
          <w:p>
            <w:pPr>
              <w:spacing w:after="40"/>
            </w:pPr>
            <w:r>
              <w:rPr>
                <w:sz w:val="19"/>
              </w:rPr>
            </w:r>
            <w:r>
              <w:rPr>
                <w:sz w:val="19"/>
              </w:rPr>
              <w:t>§5 and §7.5; 26-byte frames, JSON telemetry on port 1883</w:t>
            </w:r>
          </w:p>
        </w:tc>
      </w:tr>
      <w:tr>
        <w:tc>
          <w:tcPr>
            <w:tcW w:type="dxa" w:w="4320"/>
          </w:tcPr>
          <w:p>
            <w:pPr>
              <w:spacing w:after="40"/>
            </w:pPr>
            <w:r>
              <w:rPr>
                <w:sz w:val="19"/>
              </w:rPr>
            </w:r>
            <w:r>
              <w:rPr>
                <w:sz w:val="19"/>
              </w:rPr>
              <w:t>Channel discovered at runtime, not chosen</w:t>
            </w:r>
          </w:p>
        </w:tc>
        <w:tc>
          <w:tcPr>
            <w:tcW w:type="dxa" w:w="4320"/>
          </w:tcPr>
          <w:p>
            <w:pPr>
              <w:spacing w:after="40"/>
            </w:pPr>
            <w:r>
              <w:rPr>
                <w:sz w:val="19"/>
              </w:rPr>
            </w:r>
            <w:r>
              <w:rPr>
                <w:sz w:val="19"/>
              </w:rPr>
              <w:t>§4.2; the gateway reports the channel it landed on, and the node is pinned to match</w:t>
            </w:r>
          </w:p>
        </w:tc>
      </w:tr>
      <w:tr>
        <w:tc>
          <w:tcPr>
            <w:tcW w:type="dxa" w:w="4320"/>
          </w:tcPr>
          <w:p>
            <w:pPr>
              <w:spacing w:after="40"/>
            </w:pPr>
            <w:r>
              <w:rPr>
                <w:sz w:val="19"/>
              </w:rPr>
            </w:r>
            <w:r>
              <w:rPr>
                <w:sz w:val="19"/>
              </w:rPr>
              <w:t>Edge aggregation to reduce cloud traffic</w:t>
            </w:r>
          </w:p>
        </w:tc>
        <w:tc>
          <w:tcPr>
            <w:tcW w:type="dxa" w:w="4320"/>
          </w:tcPr>
          <w:p>
            <w:pPr>
              <w:spacing w:after="40"/>
            </w:pPr>
            <w:r>
              <w:rPr>
                <w:sz w:val="19"/>
              </w:rPr>
            </w:r>
            <w:r>
              <w:rPr>
                <w:sz w:val="19"/>
              </w:rPr>
              <w:t>Two 26-byte frames every 5 s become one publish every 10 s, §8.3</w:t>
            </w:r>
          </w:p>
        </w:tc>
      </w:tr>
      <w:tr>
        <w:tc>
          <w:tcPr>
            <w:tcW w:type="dxa" w:w="4320"/>
          </w:tcPr>
          <w:p>
            <w:pPr>
              <w:spacing w:after="40"/>
            </w:pPr>
            <w:r>
              <w:rPr>
                <w:sz w:val="19"/>
              </w:rPr>
            </w:r>
            <w:r>
              <w:rPr>
                <w:sz w:val="19"/>
              </w:rPr>
              <w:t xml:space="preserve">Deduplication on </w:t>
            </w:r>
            <w:r>
              <w:rPr>
                <w:rFonts w:ascii="Consolas" w:hAnsi="Consolas"/>
                <w:sz w:val="19"/>
              </w:rPr>
              <w:t>(src_id, boot_id, seq)</w:t>
            </w:r>
          </w:p>
        </w:tc>
        <w:tc>
          <w:tcPr>
            <w:tcW w:type="dxa" w:w="4320"/>
          </w:tcPr>
          <w:p>
            <w:pPr>
              <w:spacing w:after="40"/>
            </w:pPr>
            <w:r>
              <w:rPr>
                <w:sz w:val="19"/>
              </w:rPr>
            </w:r>
            <w:r>
              <w:rPr>
                <w:sz w:val="19"/>
              </w:rPr>
              <w:t>§6, with a node restart correctly distinguished from a replay</w:t>
            </w:r>
          </w:p>
        </w:tc>
      </w:tr>
      <w:tr>
        <w:tc>
          <w:tcPr>
            <w:tcW w:type="dxa" w:w="4320"/>
          </w:tcPr>
          <w:p>
            <w:pPr>
              <w:spacing w:after="40"/>
            </w:pPr>
            <w:r>
              <w:rPr>
                <w:sz w:val="19"/>
              </w:rPr>
            </w:r>
            <w:r>
              <w:rPr>
                <w:sz w:val="19"/>
              </w:rPr>
              <w:t>Link encryption with a pre-shared key pair</w:t>
            </w:r>
          </w:p>
        </w:tc>
        <w:tc>
          <w:tcPr>
            <w:tcW w:type="dxa" w:w="4320"/>
          </w:tcPr>
          <w:p>
            <w:pPr>
              <w:spacing w:after="40"/>
            </w:pPr>
            <w:r>
              <w:rPr>
                <w:sz w:val="19"/>
              </w:rPr>
            </w:r>
            <w:r>
              <w:rPr>
                <w:sz w:val="19"/>
              </w:rPr>
              <w:t>§7.9.3; PMK plus per-peer LMK, verified on hardware</w:t>
            </w:r>
          </w:p>
        </w:tc>
      </w:tr>
      <w:tr>
        <w:tc>
          <w:tcPr>
            <w:tcW w:type="dxa" w:w="4320"/>
          </w:tcPr>
          <w:p>
            <w:pPr>
              <w:spacing w:after="40"/>
            </w:pPr>
            <w:r>
              <w:rPr>
                <w:sz w:val="19"/>
              </w:rPr>
            </w:r>
            <w:r>
              <w:rPr>
                <w:sz w:val="19"/>
              </w:rPr>
              <w:t>ThingsBoard PaaS for registry, ingestion and dashboards</w:t>
            </w:r>
          </w:p>
        </w:tc>
        <w:tc>
          <w:tcPr>
            <w:tcW w:type="dxa" w:w="4320"/>
          </w:tcPr>
          <w:p>
            <w:pPr>
              <w:spacing w:after="40"/>
            </w:pPr>
            <w:r>
              <w:rPr>
                <w:sz w:val="19"/>
              </w:rPr>
            </w:r>
            <w:r>
              <w:rPr>
                <w:sz w:val="19"/>
              </w:rPr>
              <w:t>§7.5 and §8.10</w:t>
            </w:r>
          </w:p>
        </w:tc>
      </w:tr>
    </w:tbl>
    <w:p/>
    <w:p>
      <w:r>
        <w:t>Two differences are worth stating plainly rather than leaving for a reader to notice.</w:t>
      </w:r>
    </w:p>
    <w:p>
      <w:r>
        <w:rPr>
          <w:b/>
        </w:rPr>
        <w:t>The sensor changed.</w:t>
      </w:r>
      <w:r>
        <w:t xml:space="preserve"> The brief specified BMP280; the available hardware was DHT11. This alters what the system measures — humidity instead of pressure — but not the architecture being demonstrated. §3 sets out the substitution and its consequences in full.</w:t>
      </w:r>
    </w:p>
    <w:p>
      <w:r>
        <w:rPr>
          <w:b/>
        </w:rPr>
        <w:t>The implementation went further than the analysis.</w:t>
      </w:r>
      <w:r>
        <w:t xml:space="preserve"> The case study closed by recommending work on the cloud leg. Two capabilities were added afterwards that it does not describe: server-to-device RPC, so the cloud can change device behaviour rather than only observe it, and a store-and-forward buffer that preserves telemetry across a broker outage. Both are specified in §7.6 and verified on hardware in §8.9.</w:t>
      </w:r>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jc w:val="center"/>
      </w:pPr>
      <w:r>
        <w:drawing>
          <wp:inline xmlns:a="http://schemas.openxmlformats.org/drawingml/2006/main" xmlns:pic="http://schemas.openxmlformats.org/drawingml/2006/picture">
            <wp:extent cx="5486400" cy="3386176"/>
            <wp:docPr id="1" name="Picture 1"/>
            <wp:cNvGraphicFramePr>
              <a:graphicFrameLocks noChangeAspect="1"/>
            </wp:cNvGraphicFramePr>
            <a:graphic>
              <a:graphicData uri="http://schemas.openxmlformats.org/drawingml/2006/picture">
                <pic:pic>
                  <pic:nvPicPr>
                    <pic:cNvPr id="0" name="fig_circuit_diagram.png"/>
                    <pic:cNvPicPr/>
                  </pic:nvPicPr>
                  <pic:blipFill>
                    <a:blip r:embed="rId9"/>
                    <a:stretch>
                      <a:fillRect/>
                    </a:stretch>
                  </pic:blipFill>
                  <pic:spPr>
                    <a:xfrm>
                      <a:off x="0" y="0"/>
                      <a:ext cx="5486400" cy="3386176"/>
                    </a:xfrm>
                    <a:prstGeom prst="rect"/>
                  </pic:spPr>
                </pic:pic>
              </a:graphicData>
            </a:graphic>
          </wp:inline>
        </w:drawing>
      </w:r>
    </w:p>
    <w:p>
      <w:pPr>
        <w:spacing w:after="280"/>
        <w:jc w:val="center"/>
      </w:pPr>
      <w:r>
        <w:rPr>
          <w:b/>
          <w:sz w:val="19"/>
        </w:rPr>
        <w:t>Figure 1</w:t>
      </w:r>
      <w:r>
        <w:rPr>
          <w:sz w:val="19"/>
        </w:rPr>
        <w:t xml:space="preserve"> — Circuit and wiring. The two boards are electrically independent: each has its own USB supply and its own ground, and the only path between them is the encrypted ESP-NOW link drawn as a dashed line. The wiring is identical on both boards apart from the data pin, GPIO4 on Board 1 and GPIO5 on Board 2.</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1_both_boards_no_wire.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2_wiring_detail_dht11.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4" name="Picture 4"/>
            <wp:cNvGraphicFramePr>
              <a:graphicFrameLocks noChangeAspect="1"/>
            </wp:cNvGraphicFramePr>
            <a:graphic>
              <a:graphicData uri="http://schemas.openxmlformats.org/drawingml/2006/picture">
                <pic:pic>
                  <pic:nvPicPr>
                    <pic:cNvPr id="0" name="photo_03_board_on_breadboard.jpeg"/>
                    <pic:cNvPicPr/>
                  </pic:nvPicPr>
                  <pic:blipFill>
                    <a:blip r:embed="rId12"/>
                    <a:stretch>
                      <a:fillRect/>
                    </a:stretch>
                  </pic:blipFill>
                  <pic:spPr>
                    <a:xfrm>
                      <a:off x="0" y="0"/>
                      <a:ext cx="3291840" cy="4389483"/>
                    </a:xfrm>
                    <a:prstGeom prst="rect"/>
                  </pic:spPr>
                </pic:pic>
              </a:graphicData>
            </a:graphic>
          </wp:inline>
        </w:drawing>
      </w:r>
    </w:p>
    <w:p>
      <w:pPr>
        <w:spacing w:after="280"/>
        <w:jc w:val="center"/>
      </w:pPr>
      <w:r>
        <w:rPr>
          <w:b/>
          <w:sz w:val="19"/>
        </w:rPr>
        <w:t>Figure 4</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Bidirectional control and store-and-forward</w:t>
      </w:r>
    </w:p>
    <w:p>
      <w:r>
        <w:t>Two capabilities distinguish this implementation from a telemetry-only device.</w:t>
      </w:r>
    </w:p>
    <w:p>
      <w:pPr>
        <w:pStyle w:val="Heading4"/>
      </w:pPr>
      <w:r>
        <w:t>Server-to-device RPC</w:t>
      </w:r>
    </w:p>
    <w:p>
      <w:r>
        <w:t xml:space="preserve">Telemetry alone makes a device *observable*. It does not make it *manageable* — an operator can see what a sensor reports but cannot change how it behaves without physical access. The gateway therefore subscribes to </w:t>
      </w:r>
      <w:r>
        <w:rPr>
          <w:rFonts w:ascii="Consolas" w:hAnsi="Consolas"/>
          <w:sz w:val="19"/>
        </w:rPr>
        <w:t>v1/devices/me/rpc/request/+</w:t>
      </w:r>
      <w:r>
        <w:t xml:space="preserve"> and replies on the matching response topic, which is what makes the MQTT link bidirectional rather than a one-way feed.</w:t>
      </w:r>
    </w:p>
    <w:p>
      <w:r>
        <w:t>Three methods are implemented: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Behaviour</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Returns node liveness, packet counters, queue depth, current interval and radio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w:t>
            </w:r>
          </w:p>
        </w:tc>
        <w:tc>
          <w:tcPr>
            <w:tcW w:type="dxa" w:w="2880"/>
          </w:tcPr>
          <w:p>
            <w:pPr>
              <w:spacing w:after="40"/>
            </w:pPr>
            <w:r>
              <w:rPr>
                <w:sz w:val="19"/>
              </w:rPr>
            </w:r>
            <w:r>
              <w:rPr>
                <w:sz w:val="19"/>
              </w:rPr>
              <w:t>Changes the telemetry cadence at runtime, within bounds</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sz w:val="19"/>
              </w:rPr>
              <w:t>Zeroes the diagnostic counters without rebooting</w:t>
            </w:r>
          </w:p>
        </w:tc>
      </w:tr>
    </w:tbl>
    <w:p/>
    <w:p>
      <w:r>
        <w:t xml:space="preserve">Two design decisions are worth defending. First, </w:t>
      </w:r>
      <w:r>
        <w:rPr>
          <w:rFonts w:ascii="Consolas" w:hAnsi="Consolas"/>
          <w:sz w:val="19"/>
        </w:rPr>
        <w:t>setPublishInterval</w:t>
      </w:r>
      <w:r>
        <w:t xml:space="preserve"> is </w:t>
      </w:r>
      <w:r>
        <w:rPr>
          <w:b/>
        </w:rPr>
        <w:t>range-checked and rejected</w:t>
      </w:r>
      <w:r>
        <w:t xml:space="preserve"> rather than clamped: accepting a value silently different from the one requested would leave the operator believing something untrue about the device. The bounds (2 s to 300 s) prevent both a broker flood and a device that has effectively stopped reporting. Second, the handler runs on the Arduino task rather than a network task, because PubSubClient dispatches callbacks from </w:t>
      </w:r>
      <w:r>
        <w:rPr>
          <w:rFonts w:ascii="Consolas" w:hAnsi="Consolas"/>
          <w:sz w:val="19"/>
        </w:rPr>
        <w:t>mqtt.loop()</w:t>
      </w:r>
      <w:r>
        <w:t xml:space="preserve"> — so unlike the ESP-NOW receive callback, ordinary blocking code is safe here.</w:t>
      </w:r>
    </w:p>
    <w:p>
      <w:r>
        <w:t>The subscription is re-issued on every reconnection rather than once at startup. MQTT subscriptions are session state and are discarded when the connection drops, so a device that subscribed only at boot would continue publishing normally after a reconnect while silently ignoring every command — a failure that looks like nothing at all from the dashboard.</w:t>
      </w:r>
    </w:p>
    <w:p>
      <w:pPr>
        <w:pStyle w:val="Heading4"/>
      </w:pPr>
      <w:r>
        <w:t>Store-and-forward buffering</w:t>
      </w:r>
    </w:p>
    <w:p>
      <w:r>
        <w:t>Earlier versions discarded telemetry generated while the broker was unreachable. Given that Wi-Fi reconnection and MQTT retries are both expected events rather than exceptional ones, that meant routine network interruptions produced permanent gaps in the record.</w:t>
      </w:r>
    </w:p>
    <w:p>
      <w:r>
        <w:t>The gateway now holds unsent payloads in a fixed-size ring buffer of twelve slots — roughly two minutes of outage at the default cadence — and flushes them oldest-first once the broker is reachable again. Three properties matter:</w:t>
      </w:r>
    </w:p>
    <w:p>
      <w:pPr>
        <w:pStyle w:val="ListBullet"/>
      </w:pPr>
      <w:r>
        <w:rPr>
          <w:b/>
        </w:rPr>
        <w:t>Bounded.</w:t>
      </w:r>
      <w:r>
        <w:t xml:space="preserve"> A ring cannot exhaust memory during a long outage. When full, the oldest entry is overwritten and counted in </w:t>
      </w:r>
      <w:r>
        <w:rPr>
          <w:rFonts w:ascii="Consolas" w:hAnsi="Consolas"/>
          <w:sz w:val="19"/>
        </w:rPr>
        <w:t>dropped_total</w:t>
      </w:r>
      <w:r>
        <w:t>, so loss is visible rather than silent.</w:t>
      </w:r>
    </w:p>
    <w:p>
      <w:pPr>
        <w:pStyle w:val="ListBullet"/>
      </w:pPr>
      <w:r>
        <w:rPr>
          <w:b/>
        </w:rPr>
        <w:t>Ordered.</w:t>
      </w:r>
      <w:r>
        <w:t xml:space="preserve"> The flush stops at the first failed publish and leaves the remainder queued, so the cloud never receives readings out of sequence.</w:t>
      </w:r>
    </w:p>
    <w:p>
      <w:pPr>
        <w:pStyle w:val="ListBullet"/>
      </w:pPr>
      <w:r>
        <w:rPr>
          <w:b/>
        </w:rPr>
        <w:t>Recent-biased.</w:t>
      </w:r>
      <w:r>
        <w:t xml:space="preserve"> Overwriting the oldest is the correct trade for telemetry, where a reading from two minutes ago matters less than the one just taken.</w:t>
      </w:r>
    </w:p>
    <w:p>
      <w:r>
        <w:t>The buffer is held in RAM rather than flash. That is a deliberate limit: it survives a network outage, which is the failure it was built for, but not a power loss. Flash-backed storage would cover both at the cost of write-endurance management.</w:t>
      </w:r>
    </w:p>
    <w:p>
      <w:pPr>
        <w:pStyle w:val="Heading3"/>
      </w:pPr>
      <w:r>
        <w:t>7.7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7.8 Memory footprint</w:t>
      </w:r>
    </w:p>
    <w:p>
      <w:r>
        <w:t xml:space="preserve">Measured with </w:t>
      </w:r>
      <w:r>
        <w:rPr>
          <w:rFonts w:ascii="Consolas" w:hAnsi="Consolas"/>
          <w:sz w:val="19"/>
        </w:rPr>
        <w:t>arduino-cli</w:t>
      </w:r>
      <w:r>
        <w:t xml:space="preserve"> against </w:t>
      </w:r>
      <w:r>
        <w:rPr>
          <w:rFonts w:ascii="Consolas" w:hAnsi="Consolas"/>
          <w:sz w:val="19"/>
        </w:rPr>
        <w:t>esp32:esp32:esp32</w:t>
      </w:r>
      <w:r>
        <w:t xml:space="preserve"> on core 3.3.3, default partition scheme. The full compiler output, core version and library versions are in </w:t>
      </w:r>
      <w:r>
        <w:rPr>
          <w:rFonts w:ascii="Consolas" w:hAnsi="Consolas"/>
          <w:sz w:val="19"/>
        </w:rPr>
        <w:t>evidence/07_build_sizes.txt</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 (bytes)</w:t>
            </w:r>
          </w:p>
        </w:tc>
        <w:tc>
          <w:tcPr>
            <w:tcW w:type="dxa" w:w="2880"/>
          </w:tcPr>
          <w:p>
            <w:pPr>
              <w:spacing w:after="40"/>
            </w:pPr>
            <w:r>
              <w:rPr>
                <w:b/>
                <w:sz w:val="19"/>
              </w:rPr>
            </w:r>
            <w:r>
              <w:rPr>
                <w:b/>
                <w:sz w:val="19"/>
              </w:rPr>
              <w:t>% of 1,310,720</w:t>
            </w:r>
          </w:p>
        </w:tc>
      </w:tr>
      <w:tr>
        <w:tc>
          <w:tcPr>
            <w:tcW w:type="dxa" w:w="2880"/>
          </w:tcPr>
          <w:p>
            <w:pPr>
              <w:spacing w:after="40"/>
            </w:pPr>
            <w:r>
              <w:rPr>
                <w:sz w:val="19"/>
              </w:rPr>
            </w:r>
            <w:r>
              <w:rPr>
                <w:rFonts w:ascii="Consolas" w:hAnsi="Consolas"/>
                <w:sz w:val="19"/>
              </w:rPr>
              <w:t>01</w:t>
            </w:r>
            <w:r>
              <w:rPr>
                <w:sz w:val="19"/>
              </w:rPr>
              <w:t xml:space="preserve"> — DHT test only</w:t>
            </w:r>
          </w:p>
        </w:tc>
        <w:tc>
          <w:tcPr>
            <w:tcW w:type="dxa" w:w="2880"/>
          </w:tcPr>
          <w:p>
            <w:pPr>
              <w:spacing w:after="40"/>
            </w:pPr>
            <w:r>
              <w:rPr>
                <w:sz w:val="19"/>
              </w:rPr>
            </w:r>
            <w:r>
              <w:rPr>
                <w:sz w:val="19"/>
              </w:rPr>
              <w:t>284,039</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02</w:t>
            </w:r>
            <w:r>
              <w:rPr>
                <w:sz w:val="19"/>
              </w:rPr>
              <w:t xml:space="preserve"> — DHT test only</w:t>
            </w:r>
          </w:p>
        </w:tc>
        <w:tc>
          <w:tcPr>
            <w:tcW w:type="dxa" w:w="2880"/>
          </w:tcPr>
          <w:p>
            <w:pPr>
              <w:spacing w:after="40"/>
            </w:pPr>
            <w:r>
              <w:rPr>
                <w:sz w:val="19"/>
              </w:rPr>
            </w:r>
            <w:r>
              <w:rPr>
                <w:sz w:val="19"/>
              </w:rPr>
              <w:t>284,071</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885,539</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898,803</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1,012,651</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 the same gateway sketch built with </w:t>
      </w:r>
      <w:r>
        <w:rPr>
          <w:rFonts w:ascii="Consolas" w:hAnsi="Consolas"/>
          <w:sz w:val="19"/>
        </w:rPr>
        <w:t>WIFI_USE_ENTERPRISE 0</w:t>
      </w:r>
      <w:r>
        <w:t xml:space="preserve"> came out at 915,267 bytes (69%), against 1,012,651 bytes (77%) with PEAP enabled.</w:t>
      </w:r>
    </w:p>
    <w:p>
      <w:pPr>
        <w:pStyle w:val="Heading3"/>
      </w:pPr>
      <w:r>
        <w:t>7.9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7.9.1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7.9.2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Link-layer encryption and sender authentication.</w:t>
      </w:r>
      <w:r>
        <w:t xml:space="preserve"> ESP-NOW is configured with a 16-byte primary master key and a per-peer local master key, and both boards register each other as encrypted peers. A frame the gateway accepts must therefore decrypt correctly under a key held by only the two boards, which is what makes it evidence of origin rather than a claim of origin. §7.9.3 describes the attack this closes and why the weaker measure it replaced was insufficient.</w:t>
      </w:r>
    </w:p>
    <w:p>
      <w:r>
        <w:rPr>
          <w:b/>
        </w:rPr>
        <w:t>Sender address filtering.</w:t>
      </w:r>
      <w:r>
        <w:t xml:space="preserve"> The gateway additionally compares the driver-reported source MAC against Board 1's known address. Retained as defence in depth rather than as the trust boundary, since a MAC address alone is forgeable.</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7.9.3 The sender-authentication problem</w:t>
      </w:r>
    </w:p>
    <w:p>
      <w:r>
        <w:t>This is worth setting out in full, because the reasoning that led away from the original design is the most instructive part of the project.</w:t>
      </w:r>
    </w:p>
    <w:p>
      <w:r>
        <w:t xml:space="preserve">That first version registered no ESP-NOW peers and used no encryption, because that is what allows a receiver to accept frames without a prior handshake. The consequence was that the </w:t>
      </w:r>
      <w:r>
        <w:rPr>
          <w:rFonts w:ascii="Consolas" w:hAnsi="Consolas"/>
          <w:sz w:val="19"/>
        </w:rPr>
        <w:t>src_id</w:t>
      </w:r>
      <w:r>
        <w:t xml:space="preserve"> field inside the packet was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rPr>
          <w:b/>
        </w:rPr>
        <w:t>The first attempt at a fix, and why it was not enough.</w:t>
      </w:r>
      <w:r>
        <w:t xml:space="preserve"> The initial mitigation was a source MAC check in the receive callback: compare the address the radio driver reports against Board 1's known MAC and discard anything else. This raised the effort required, but an adversarial review correctly rejected it as a trust boundary. 802.11 source addresses are trivially forgeable by anyone already capable of injecting frames, so an attacker could observe the live </w:t>
      </w:r>
      <w:r>
        <w:rPr>
          <w:rFonts w:ascii="Consolas" w:hAnsi="Consolas"/>
          <w:sz w:val="19"/>
        </w:rPr>
        <w:t>boot_id</w:t>
      </w:r>
      <w:r>
        <w:t>, transmit using Board 1's address, and execute the attack unchanged. Filtering on an identifier that the attacker controls is not authentication.</w:t>
      </w:r>
    </w:p>
    <w:p>
      <w:r>
        <w:rPr>
          <w:b/>
        </w:rPr>
        <w:t>The implemented fix.</w:t>
      </w:r>
      <w:r>
        <w:t xml:space="preserve"> ESP-NOW link encryption. A 16-byte primary master key is installed on both boards with </w:t>
      </w:r>
      <w:r>
        <w:rPr>
          <w:rFonts w:ascii="Consolas" w:hAnsi="Consolas"/>
          <w:sz w:val="19"/>
        </w:rPr>
        <w:t>esp_now_set_pmk()</w:t>
      </w:r>
      <w:r>
        <w:t xml:space="preserve">, and each registers the other as a peer carrying a 16-byte local master key with </w:t>
      </w:r>
      <w:r>
        <w:rPr>
          <w:rFonts w:ascii="Consolas" w:hAnsi="Consolas"/>
          <w:sz w:val="19"/>
        </w:rPr>
        <w:t>esp_now_peer_info_t::encrypt</w:t>
      </w:r>
      <w:r>
        <w:t xml:space="preserve"> set true. Encryption in ESP-NOW is symmetric in a way worth noting: the *receiver* also needs a peer entry, because without the LMK the driver cannot decrypt the frame and discards it before any application code runs.</w:t>
      </w:r>
    </w:p>
    <w:p>
      <w:r>
        <w:t>This changes the property being relied upon. Previously the gateway accepted a frame because of an address the sender chose; now it accepts a frame because the frame decrypted correctly under a key the sender must possess. Forging a packet requires the key rather than a transmitter, which is the difference between an identifier and an authenticator.</w:t>
      </w:r>
    </w:p>
    <w:p>
      <w:r>
        <w:t xml:space="preserve">The MAC comparison was kept as defence in depth. The costs are that peers must be registered in advance on both sides, that the encrypted peer table is limited to 20 entries, and that the keys are one more secret to manage — they live in each sketch's gitignored </w:t>
      </w:r>
      <w:r>
        <w:rPr>
          <w:rFonts w:ascii="Consolas" w:hAnsi="Consolas"/>
          <w:sz w:val="19"/>
        </w:rPr>
        <w:t>secrets.h</w:t>
      </w:r>
      <w:r>
        <w:t xml:space="preserve"> and, as with every other credential here, are recoverable from flash over USB.</w:t>
      </w:r>
    </w:p>
    <w:p>
      <w:pPr>
        <w:pStyle w:val="Heading4"/>
      </w:pPr>
      <w:r>
        <w:t>7.9.4 What is not defended, and why</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(§7.7),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7.9.5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Implemented (PMK + per-peer LMK)</w:t>
            </w:r>
          </w:p>
        </w:tc>
      </w:tr>
      <w:tr>
        <w:tc>
          <w:tcPr>
            <w:tcW w:type="dxa" w:w="4320"/>
          </w:tcPr>
          <w:p>
            <w:pPr>
              <w:spacing w:after="40"/>
            </w:pPr>
            <w:r>
              <w:rPr>
                <w:sz w:val="19"/>
              </w:rPr>
            </w:r>
            <w:r>
              <w:rPr>
                <w:sz w:val="19"/>
              </w:rPr>
              <w:t>ESP-NOW sender authentication</w:t>
            </w:r>
          </w:p>
        </w:tc>
        <w:tc>
          <w:tcPr>
            <w:tcW w:type="dxa" w:w="4320"/>
          </w:tcPr>
          <w:p>
            <w:pPr>
              <w:spacing w:after="40"/>
            </w:pPr>
            <w:r>
              <w:rPr>
                <w:sz w:val="19"/>
              </w:rPr>
            </w:r>
            <w:r>
              <w:rPr>
                <w:sz w:val="19"/>
              </w:rPr>
              <w:t>Implemented (encrypted peer registration)</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(defence in depth)</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radio link is now authenticated and encrypted; the remaining exposures are on the cloud leg and in credential storage. The system is appropriate for a classroom demonstration, and the three unimplemented controls above are the specific work required before deployment.</w:t>
      </w:r>
    </w:p>
    <w:p>
      <w:r>
        <w:t>It is worth recording how the encryption came to be implemented, because the process is part of the result. The first version of this system used no encryption at all. Adding source MAC filtering appeared to close the injection attack, and would have been reported as a mitigation had the design not been submitted for independent adversarial review. That review rejected the filter as a trust boundary on the grounds that the attacker controls the value being filtered on — which was correct, and which no functional test would have revealed, since the system behaves correctly under every non-hostile input. Security properties are not observable by testing the happy path.</w:t>
      </w:r>
    </w:p>
    <w:p>
      <w:r>
        <w:t xml:space="preserve">The first hardware test after enabling encryption produced no packets at all, which appeared to indicate that encrypted ESP-NOW could not complete between an associated gateway and an unassociated node. That conclusion was wrong. The gateway had roamed to an access point on a different channel at some point during the session, and the node was still pinned to the old one — the failure described under Limitations, occurring by coincidence during a security change. Once the channel was corrected, encryption worked without further modification, and has since run continuously with </w:t>
      </w:r>
      <w:r>
        <w:rPr>
          <w:rFonts w:ascii="Consolas" w:hAnsi="Consolas"/>
          <w:sz w:val="19"/>
        </w:rPr>
        <w:t>invalid=0</w:t>
      </w:r>
      <w:r>
        <w:t xml:space="preserve"> and </w:t>
      </w:r>
      <w:r>
        <w:rPr>
          <w:rFonts w:ascii="Consolas" w:hAnsi="Consolas"/>
          <w:sz w:val="19"/>
        </w:rPr>
        <w:t>wrong_sender=0</w:t>
      </w:r>
      <w:r>
        <w:t xml:space="preserve"> (</w:t>
      </w:r>
      <w:r>
        <w:rPr>
          <w:rFonts w:ascii="Consolas" w:hAnsi="Consolas"/>
          <w:sz w:val="19"/>
        </w:rPr>
        <w:t>evidence/08_encrypted_link_verified.txt</w:t>
      </w:r>
      <w:r>
        <w:t>).</w:t>
      </w:r>
    </w:p>
    <w:p>
      <w:r>
        <w:t>The methodological point is worth more than the technical one. Two independent faults were present simultaneously, and the symptom of the second — no packets arriving — was indistinguishable from the expected symptom of a broken first. Attributing the failure to the change most recently made was the obvious inference and the wrong one.</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10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r>
        <w:tc>
          <w:tcPr>
            <w:tcW w:type="dxa" w:w="2160"/>
          </w:tcPr>
          <w:p>
            <w:pPr>
              <w:spacing w:after="40"/>
            </w:pPr>
            <w:r>
              <w:rPr>
                <w:sz w:val="19"/>
              </w:rPr>
            </w:r>
            <w:r>
              <w:rPr>
                <w:sz w:val="19"/>
              </w:rPr>
              <w:t>12</w:t>
            </w:r>
          </w:p>
        </w:tc>
        <w:tc>
          <w:tcPr>
            <w:tcW w:type="dxa" w:w="2160"/>
          </w:tcPr>
          <w:p>
            <w:pPr>
              <w:spacing w:after="40"/>
            </w:pPr>
            <w:r>
              <w:rPr>
                <w:sz w:val="19"/>
              </w:rPr>
            </w:r>
            <w:r>
              <w:rPr>
                <w:sz w:val="19"/>
              </w:rPr>
              <w:t>A dashboard command changes device behaviour</w:t>
            </w:r>
          </w:p>
        </w:tc>
        <w:tc>
          <w:tcPr>
            <w:tcW w:type="dxa" w:w="2160"/>
          </w:tcPr>
          <w:p>
            <w:pPr>
              <w:spacing w:after="40"/>
            </w:pPr>
            <w:r>
              <w:rPr>
                <w:sz w:val="19"/>
              </w:rPr>
            </w:r>
            <w:r>
              <w:rPr>
                <w:rFonts w:ascii="Consolas" w:hAnsi="Consolas"/>
                <w:sz w:val="19"/>
              </w:rPr>
              <w:t>10_</w:t>
            </w:r>
            <w:r>
              <w:rPr>
                <w:sz w:val="19"/>
              </w:rPr>
              <w:t>, Figure 9</w:t>
            </w:r>
          </w:p>
        </w:tc>
        <w:tc>
          <w:tcPr>
            <w:tcW w:type="dxa" w:w="2160"/>
          </w:tcPr>
          <w:p>
            <w:pPr>
              <w:spacing w:after="40"/>
            </w:pPr>
            <w:r>
              <w:rPr>
                <w:sz w:val="19"/>
              </w:rPr>
            </w:r>
            <w:r>
              <w:rPr>
                <w:sz w:val="19"/>
              </w:rPr>
              <w:t xml:space="preserve">✅ </w:t>
            </w:r>
            <w:r>
              <w:rPr>
                <w:rFonts w:ascii="Consolas" w:hAnsi="Consolas"/>
                <w:sz w:val="19"/>
              </w:rPr>
              <w:t>setPublishInterval</w:t>
            </w:r>
            <w:r>
              <w:rPr>
                <w:sz w:val="19"/>
              </w:rPr>
              <w:t xml:space="preserve"> accepted and applied; </w:t>
            </w:r>
            <w:r>
              <w:rPr>
                <w:rFonts w:ascii="Consolas" w:hAnsi="Consolas"/>
                <w:sz w:val="19"/>
              </w:rPr>
              <w:t>rpc_handled</w:t>
            </w:r>
            <w:r>
              <w:rPr>
                <w:sz w:val="19"/>
              </w:rPr>
              <w:t xml:space="preserve"> incremented</w:t>
            </w:r>
          </w:p>
        </w:tc>
      </w:tr>
      <w:tr>
        <w:tc>
          <w:tcPr>
            <w:tcW w:type="dxa" w:w="2160"/>
          </w:tcPr>
          <w:p>
            <w:pPr>
              <w:spacing w:after="40"/>
            </w:pPr>
            <w:r>
              <w:rPr>
                <w:sz w:val="19"/>
              </w:rPr>
            </w:r>
            <w:r>
              <w:rPr>
                <w:sz w:val="19"/>
              </w:rPr>
              <w:t>13</w:t>
            </w:r>
          </w:p>
        </w:tc>
        <w:tc>
          <w:tcPr>
            <w:tcW w:type="dxa" w:w="2160"/>
          </w:tcPr>
          <w:p>
            <w:pPr>
              <w:spacing w:after="40"/>
            </w:pPr>
            <w:r>
              <w:rPr>
                <w:sz w:val="19"/>
              </w:rPr>
            </w:r>
            <w:r>
              <w:rPr>
                <w:sz w:val="19"/>
              </w:rPr>
              <w:t>Telemetry survives a broker outage</w:t>
            </w:r>
          </w:p>
        </w:tc>
        <w:tc>
          <w:tcPr>
            <w:tcW w:type="dxa" w:w="2160"/>
          </w:tcPr>
          <w:p>
            <w:pPr>
              <w:spacing w:after="40"/>
            </w:pPr>
            <w:r>
              <w:rPr>
                <w:sz w:val="19"/>
              </w:rPr>
            </w:r>
            <w:r>
              <w:rPr>
                <w:rFonts w:ascii="Consolas" w:hAnsi="Consolas"/>
                <w:sz w:val="19"/>
              </w:rPr>
              <w:t>10_</w:t>
            </w:r>
          </w:p>
        </w:tc>
        <w:tc>
          <w:tcPr>
            <w:tcW w:type="dxa" w:w="2160"/>
          </w:tcPr>
          <w:p>
            <w:pPr>
              <w:spacing w:after="40"/>
            </w:pPr>
            <w:r>
              <w:rPr>
                <w:sz w:val="19"/>
              </w:rPr>
            </w:r>
            <w:r>
              <w:rPr>
                <w:sz w:val="19"/>
              </w:rPr>
              <w:t xml:space="preserve">✅ </w:t>
            </w:r>
            <w:r>
              <w:rPr>
                <w:rFonts w:ascii="Consolas" w:hAnsi="Consolas"/>
                <w:sz w:val="19"/>
              </w:rPr>
              <w:t>buffered_total=4</w:t>
            </w:r>
            <w:r>
              <w:rPr>
                <w:sz w:val="19"/>
              </w:rPr>
              <w:t xml:space="preserve">, </w:t>
            </w:r>
            <w:r>
              <w:rPr>
                <w:rFonts w:ascii="Consolas" w:hAnsi="Consolas"/>
                <w:sz w:val="19"/>
              </w:rPr>
              <w:t>dropped_total=0</w:t>
            </w:r>
            <w:r>
              <w:rPr>
                <w:sz w:val="19"/>
              </w:rPr>
              <w:t xml:space="preserve">, </w:t>
            </w:r>
            <w:r>
              <w:rPr>
                <w:rFonts w:ascii="Consolas" w:hAnsi="Consolas"/>
                <w:sz w:val="19"/>
              </w:rPr>
              <w:t>buffered_now=0</w:t>
            </w:r>
            <w:r>
              <w:rPr>
                <w:sz w:val="19"/>
              </w:rPr>
              <w:t xml:space="preserve"> — buffered then flushed, none lost</w:t>
            </w:r>
          </w:p>
        </w:tc>
      </w:tr>
      <w:tr>
        <w:tc>
          <w:tcPr>
            <w:tcW w:type="dxa" w:w="2160"/>
          </w:tcPr>
          <w:p>
            <w:pPr>
              <w:spacing w:after="40"/>
            </w:pPr>
            <w:r>
              <w:rPr>
                <w:sz w:val="19"/>
              </w:rPr>
            </w:r>
            <w:r>
              <w:rPr>
                <w:sz w:val="19"/>
              </w:rPr>
              <w:t>14</w:t>
            </w:r>
          </w:p>
        </w:tc>
        <w:tc>
          <w:tcPr>
            <w:tcW w:type="dxa" w:w="2160"/>
          </w:tcPr>
          <w:p>
            <w:pPr>
              <w:spacing w:after="40"/>
            </w:pPr>
            <w:r>
              <w:rPr>
                <w:sz w:val="19"/>
              </w:rPr>
            </w:r>
            <w:r>
              <w:rPr>
                <w:sz w:val="19"/>
              </w:rPr>
              <w:t>The ack on the node corresponds to a real arrival on the gateway</w:t>
            </w:r>
          </w:p>
        </w:tc>
        <w:tc>
          <w:tcPr>
            <w:tcW w:type="dxa" w:w="2160"/>
          </w:tcPr>
          <w:p>
            <w:pPr>
              <w:spacing w:after="40"/>
            </w:pPr>
            <w:r>
              <w:rPr>
                <w:sz w:val="19"/>
              </w:rPr>
            </w:r>
            <w:r>
              <w:rPr>
                <w:rFonts w:ascii="Consolas" w:hAnsi="Consolas"/>
                <w:sz w:val="19"/>
              </w:rPr>
              <w:t>11_</w:t>
            </w:r>
          </w:p>
        </w:tc>
        <w:tc>
          <w:tcPr>
            <w:tcW w:type="dxa" w:w="2160"/>
          </w:tcPr>
          <w:p>
            <w:pPr>
              <w:spacing w:after="40"/>
            </w:pPr>
            <w:r>
              <w:rPr>
                <w:sz w:val="19"/>
              </w:rPr>
            </w:r>
            <w:r>
              <w:rPr>
                <w:sz w:val="19"/>
              </w:rPr>
              <w:t xml:space="preserve">✅ same </w:t>
            </w:r>
            <w:r>
              <w:rPr>
                <w:rFonts w:ascii="Consolas" w:hAnsi="Consolas"/>
                <w:sz w:val="19"/>
              </w:rPr>
              <w:t>seq</w:t>
            </w:r>
            <w:r>
              <w:rPr>
                <w:sz w:val="19"/>
              </w:rPr>
              <w:t xml:space="preserve"> at both ends on one clock, 1 ms apart</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While the flag was enabled, exactly half of the packets received were rejected — 9 duplicates out of 18 received — which is the expected ratio when every reading is transmitted twice.</w:t>
      </w:r>
    </w:p>
    <w:p>
      <w:r>
        <w:t xml:space="preserve">The stronger evidence is what happened when the flag was turned off. In </w:t>
      </w:r>
      <w:r>
        <w:rPr>
          <w:rFonts w:ascii="Consolas" w:hAnsi="Consolas"/>
          <w:sz w:val="19"/>
        </w:rPr>
        <w:t>evidence/01_gateway_running_state.txt</w:t>
      </w:r>
      <w:r>
        <w:t xml:space="preserve"> the duplicate counter sits frozen at 82 across seven consecutive publishes while </w:t>
      </w:r>
      <w:r>
        <w:rPr>
          <w:rFonts w:ascii="Consolas" w:hAnsi="Consolas"/>
          <w:sz w:val="19"/>
        </w:rPr>
        <w:t>espnow_received_count</w:t>
      </w:r>
      <w:r>
        <w:t xml:space="preserve"> climbs from 630 to 634. The cumulative 82-of-634 figure is not a one-in-two ratio because duplicate transmission was only enabled for part of the session; the meaningful observation is that the counter stops moving the moment genuine duplicates stop arriving. That is what distinguishes discriminating logic from logic that simply rejects a fixed proportion of traffic.</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One packet, both ends</w:t>
      </w:r>
    </w:p>
    <w:p>
      <w:r>
        <w:t>Every capture in §8.3 to §8.7 reads one serial port at a time, which means the node's "link-layer ack received" and the gateway's "ESP-NOW rx" are two separate observations that have to be trusted to refer to the same packet. This test removes that gap: a single process polled both ports and timestamped each line against one clock.</w:t>
      </w:r>
    </w:p>
    <w:p>
      <w:pPr>
        <w:spacing w:before="120" w:after="120"/>
        <w:ind w:left="360"/>
      </w:pPr>
      <w:r>
        <w:rPr>
          <w:rFonts w:ascii="Consolas" w:hAnsi="Consolas"/>
          <w:sz w:val="17"/>
        </w:rPr>
        <w:t>13:20:24.754  BOARD 1 node     [NODE] tx seq=12 temperature=23.8 C humidity=44.0 %</w:t>
        <w:br/>
        <w:t>13:20:24.757  BOARD 1 node     [NODE] send to 44:1D:64:F4:F1:C8 : OK x1 (link-layer ack received)</w:t>
        <w:br/>
        <w:t>13:20:24.758  BOARD 2 gateway  [GATEWAY] ESP-NOW rx from 44:1D:64:F5:FA:24  node=1 seq=12 ... ttl=3 hops=0</w:t>
      </w:r>
    </w:p>
    <w:p>
      <w:r>
        <w:t xml:space="preserve">The gateway logs the arrival </w:t>
      </w:r>
      <w:r>
        <w:rPr>
          <w:b/>
        </w:rPr>
        <w:t>one millisecond</w:t>
      </w:r>
      <w:r>
        <w:t xml:space="preserve"> after the node logs the acknowledgement, and the sequence numbers match. Three things follow. The ack the node reports is a real delivery rather than an optimistic local result; the end-to-end radio latency is on the order of a millisecond, which is consistent with a link-layer acknowledged unicast and far below the 5 s send interval; and </w:t>
      </w:r>
      <w:r>
        <w:rPr>
          <w:rFonts w:ascii="Consolas" w:hAnsi="Consolas"/>
          <w:sz w:val="19"/>
        </w:rPr>
        <w:t>node1_sequence</w:t>
      </w:r>
      <w:r>
        <w:t xml:space="preserve"> in the subsequent MQTT payload equals the sequence just transmitted, so the aggregation is carrying the current reading rather than a cached one.</w:t>
      </w:r>
    </w:p>
    <w:p>
      <w:r>
        <w:t xml:space="preserve">Counters stayed at </w:t>
      </w:r>
      <w:r>
        <w:rPr>
          <w:rFonts w:ascii="Consolas" w:hAnsi="Consolas"/>
          <w:sz w:val="19"/>
        </w:rPr>
        <w:t>invalid=0</w:t>
      </w:r>
      <w:r>
        <w:t xml:space="preserve">, </w:t>
      </w:r>
      <w:r>
        <w:rPr>
          <w:rFonts w:ascii="Consolas" w:hAnsi="Consolas"/>
          <w:sz w:val="19"/>
        </w:rPr>
        <w:t>wrong_sender=0</w:t>
      </w:r>
      <w:r>
        <w:t xml:space="preserve">, </w:t>
      </w:r>
      <w:r>
        <w:rPr>
          <w:rFonts w:ascii="Consolas" w:hAnsi="Consolas"/>
          <w:sz w:val="19"/>
        </w:rPr>
        <w:t>duplicates=0</w:t>
      </w:r>
      <w:r>
        <w:t xml:space="preserve"> for the whole capture. The full log is </w:t>
      </w:r>
      <w:r>
        <w:rPr>
          <w:rFonts w:ascii="Consolas" w:hAnsi="Consolas"/>
          <w:sz w:val="19"/>
        </w:rPr>
        <w:t>evidence/11_both_boards_simultaneous.txt</w:t>
      </w:r>
      <w:r>
        <w:t>.</w:t>
      </w:r>
    </w:p>
    <w:p>
      <w:r>
        <w:t xml:space="preserve">The capture is also a record of the failure that preceded it. The first attempt recorded the node reporting </w:t>
      </w:r>
      <w:r>
        <w:rPr>
          <w:rFonts w:ascii="Consolas" w:hAnsi="Consolas"/>
          <w:sz w:val="19"/>
        </w:rPr>
        <w:t>FAILED (no ack)</w:t>
      </w:r>
      <w:r>
        <w:t xml:space="preserve"> with </w:t>
      </w:r>
      <w:r>
        <w:rPr>
          <w:rFonts w:ascii="Consolas" w:hAnsi="Consolas"/>
          <w:sz w:val="19"/>
        </w:rPr>
        <w:t>total_fail=14</w:t>
      </w:r>
      <w:r>
        <w:t xml:space="preserve"> while the gateway published its own readings normally with </w:t>
      </w:r>
      <w:r>
        <w:rPr>
          <w:rFonts w:ascii="Consolas" w:hAnsi="Consolas"/>
          <w:sz w:val="19"/>
        </w:rPr>
        <w:t>node1_online=false</w:t>
      </w:r>
      <w:r>
        <w:t xml:space="preserve"> — the channel-roam signature described in §9, encountered again, with the gateway on channel 6 and the node still pinned to 1 from the previous session. Recovery was the documented procedure: read the channel from the gateway's boot banner, update </w:t>
      </w:r>
      <w:r>
        <w:rPr>
          <w:rFonts w:ascii="Consolas" w:hAnsi="Consolas"/>
          <w:sz w:val="19"/>
        </w:rPr>
        <w:t>ESPNOW_CHANNEL</w:t>
      </w:r>
      <w:r>
        <w:t>, re-upload to the node.</w:t>
      </w:r>
    </w:p>
    <w:p>
      <w:pPr>
        <w:pStyle w:val="Heading3"/>
      </w:pPr>
      <w:r>
        <w:t>8.9 Bidirectional control</w:t>
      </w:r>
    </w:p>
    <w:p>
      <w:r>
        <w:t>Sections 8.3 to 8.7 test the upward path: sensor to gateway to cloud. This section tests the downward one, which is what separates a managed device from a telemetry feed.</w:t>
      </w:r>
    </w:p>
    <w:p>
      <w:r>
        <w:t xml:space="preserve">Three </w:t>
      </w:r>
      <w:r>
        <w:rPr>
          <w:b/>
        </w:rPr>
        <w:t>RPC command buttons</w:t>
      </w:r>
      <w:r>
        <w:t xml:space="preserve"> were added to the dashboard, one per implemented method. Pressing *Fast publish (2 s)* and then *Normal publish (10 s)* produced this on the gateway's serial port:</w:t>
      </w:r>
    </w:p>
    <w:p>
      <w:pPr>
        <w:spacing w:before="120" w:after="120"/>
        <w:ind w:left="360"/>
      </w:pPr>
      <w:r>
        <w:rPr>
          <w:rFonts w:ascii="Consolas" w:hAnsi="Consolas"/>
          <w:sz w:val="17"/>
        </w:rPr>
        <w:t>[GATEWAY] RPC request id=1: {"method":"setPublishInterval","params":10000}</w:t>
        <w:br/>
        <w:t>[GATEWAY] publish interval now 10000 ms</w:t>
      </w:r>
    </w:p>
    <w:p>
      <w:r>
        <w:t xml:space="preserve">The command travels dashboard → ThingsBoard core → </w:t>
      </w:r>
      <w:r>
        <w:rPr>
          <w:rFonts w:ascii="Consolas" w:hAnsi="Consolas"/>
          <w:sz w:val="19"/>
        </w:rPr>
        <w:t>v1/devices/me/rpc/request/&lt;id&gt;</w:t>
      </w:r>
      <w:r>
        <w:t xml:space="preserve"> → firmware, and the change is then visible in the opposite direction: the next telemetry publish carried </w:t>
      </w:r>
      <w:r>
        <w:rPr>
          <w:rFonts w:ascii="Consolas" w:hAnsi="Consolas"/>
          <w:sz w:val="19"/>
        </w:rPr>
        <w:t>"publish_interval_ms":2000</w:t>
      </w:r>
      <w:r>
        <w:t xml:space="preserve"> and </w:t>
      </w:r>
      <w:r>
        <w:rPr>
          <w:rFonts w:ascii="Consolas" w:hAnsi="Consolas"/>
          <w:sz w:val="19"/>
        </w:rPr>
        <w:t>"rpc_handled":1</w:t>
      </w:r>
      <w:r>
        <w:t>, and the observed publish spacing changed accordingly. The round trip is therefore confirmed at both ends rather than assumed from a dashboard acknowledgement.</w:t>
      </w:r>
    </w:p>
    <w:p>
      <w:r>
        <w:t xml:space="preserve">The parameter type matters more than it first appears. The handler locates </w:t>
      </w:r>
      <w:r>
        <w:rPr>
          <w:rFonts w:ascii="Consolas" w:hAnsi="Consolas"/>
          <w:sz w:val="19"/>
        </w:rPr>
        <w:t>"params"</w:t>
      </w:r>
      <w:r>
        <w:t xml:space="preserve"> and scans forward to the first digit or sign, so a Boolean </w:t>
      </w:r>
      <w:r>
        <w:rPr>
          <w:rFonts w:ascii="Consolas" w:hAnsi="Consolas"/>
          <w:sz w:val="19"/>
        </w:rPr>
        <w:t>true</w:t>
      </w:r>
      <w:r>
        <w:t xml:space="preserve"> would parse as </w:t>
      </w:r>
      <w:r>
        <w:rPr>
          <w:rFonts w:ascii="Consolas" w:hAnsi="Consolas"/>
          <w:sz w:val="19"/>
        </w:rPr>
        <w:t>0</w:t>
      </w:r>
      <w:r>
        <w:t xml:space="preserve"> and be </w:t>
      </w:r>
      <w:r>
        <w:rPr>
          <w:b/>
        </w:rPr>
        <w:t>refused</w:t>
      </w:r>
      <w:r>
        <w:t xml:space="preserve"> by the range check rather than silently setting a nonsense cadence. Configuring the widget to send an Integer is what makes the command well-formed; the range check is what makes a malformed one harmless.</w:t>
      </w:r>
    </w:p>
    <w:p>
      <w:r>
        <w:t xml:space="preserve">The same capture confirms the store-and-forward path end to end. The gateway reported </w:t>
      </w:r>
      <w:r>
        <w:rPr>
          <w:rFonts w:ascii="Consolas" w:hAnsi="Consolas"/>
          <w:sz w:val="19"/>
        </w:rPr>
        <w:t>buffered_total=4</w:t>
      </w:r>
      <w:r>
        <w:t xml:space="preserve"> with </w:t>
      </w:r>
      <w:r>
        <w:rPr>
          <w:rFonts w:ascii="Consolas" w:hAnsi="Consolas"/>
          <w:sz w:val="19"/>
        </w:rPr>
        <w:t>buffered_now=0</w:t>
      </w:r>
      <w:r>
        <w:t xml:space="preserve"> and </w:t>
      </w:r>
      <w:r>
        <w:rPr>
          <w:rFonts w:ascii="Consolas" w:hAnsi="Consolas"/>
          <w:sz w:val="19"/>
        </w:rPr>
        <w:t>dropped_total=0</w:t>
      </w:r>
      <w:r>
        <w:t>: four payloads generated while the broker was unreachable were held, and all four were later flushed with none overwritten. Section 7.6 argued the design was bounded, ordered and recent-biased; this is the measurement that it also works.</w:t>
      </w:r>
    </w:p>
    <w:p>
      <w:pPr>
        <w:pStyle w:val="Heading3"/>
      </w:pPr>
      <w:r>
        <w:t>8.10 Cloud dashboard</w:t>
      </w:r>
    </w:p>
    <w:p>
      <w:pPr>
        <w:jc w:val="center"/>
      </w:pPr>
      <w:r>
        <w:drawing>
          <wp:inline xmlns:a="http://schemas.openxmlformats.org/drawingml/2006/main" xmlns:pic="http://schemas.openxmlformats.org/drawingml/2006/picture">
            <wp:extent cx="5486400" cy="3606614"/>
            <wp:docPr id="5" name="Picture 5"/>
            <wp:cNvGraphicFramePr>
              <a:graphicFrameLocks noChangeAspect="1"/>
            </wp:cNvGraphicFramePr>
            <a:graphic>
              <a:graphicData uri="http://schemas.openxmlformats.org/drawingml/2006/picture">
                <pic:pic>
                  <pic:nvPicPr>
                    <pic:cNvPr id="0" name="dashboard_01_temperature_both_boards.jpg"/>
                    <pic:cNvPicPr/>
                  </pic:nvPicPr>
                  <pic:blipFill>
                    <a:blip r:embed="rId13"/>
                    <a:stretch>
                      <a:fillRect/>
                    </a:stretch>
                  </pic:blipFill>
                  <pic:spPr>
                    <a:xfrm>
                      <a:off x="0" y="0"/>
                      <a:ext cx="5486400" cy="3606614"/>
                    </a:xfrm>
                    <a:prstGeom prst="rect"/>
                  </pic:spPr>
                </pic:pic>
              </a:graphicData>
            </a:graphic>
          </wp:inline>
        </w:drawing>
      </w:r>
    </w:p>
    <w:p>
      <w:pPr>
        <w:spacing w:after="280"/>
        <w:jc w:val="center"/>
      </w:pPr>
      <w:r>
        <w:rPr>
          <w:b/>
          <w:sz w:val="19"/>
        </w:rPr>
        <w:t>Figure 5</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2_humidity_both_board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3_latest_telemetry_10_keys.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Latest telemetry, showing all ten published keys with timestamps.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8" name="Picture 8"/>
            <wp:cNvGraphicFramePr>
              <a:graphicFrameLocks noChangeAspect="1"/>
            </wp:cNvGraphicFramePr>
            <a:graphic>
              <a:graphicData uri="http://schemas.openxmlformats.org/drawingml/2006/picture">
                <pic:pic>
                  <pic:nvPicPr>
                    <pic:cNvPr id="0" name="dashboard_04_device_state_active.jpg"/>
                    <pic:cNvPicPr/>
                  </pic:nvPicPr>
                  <pic:blipFill>
                    <a:blip r:embed="rId16"/>
                    <a:stretch>
                      <a:fillRect/>
                    </a:stretch>
                  </pic:blipFill>
                  <pic:spPr>
                    <a:xfrm>
                      <a:off x="0" y="0"/>
                      <a:ext cx="5486400" cy="3606614"/>
                    </a:xfrm>
                    <a:prstGeom prst="rect"/>
                  </pic:spPr>
                </pic:pic>
              </a:graphicData>
            </a:graphic>
          </wp:inline>
        </w:drawing>
      </w:r>
    </w:p>
    <w:p>
      <w:pPr>
        <w:spacing w:after="280"/>
        <w:jc w:val="center"/>
      </w:pPr>
      <w:r>
        <w:rPr>
          <w:b/>
          <w:sz w:val="19"/>
        </w:rPr>
        <w:t>Figure 8</w:t>
      </w:r>
      <w:r>
        <w:rPr>
          <w:sz w:val="19"/>
        </w:rPr>
        <w:t xml:space="preserve"> — The device registered as </w:t>
      </w:r>
      <w:r>
        <w:rPr>
          <w:b/>
          <w:sz w:val="19"/>
        </w:rPr>
        <w:t>Active</w:t>
      </w:r>
      <w:r>
        <w:rPr>
          <w:sz w:val="19"/>
        </w:rPr>
        <w:t>. ThingsBoard sets this state only on a live connection, so the badge is independent confirmation of cloud connectivity.</w:t>
      </w:r>
    </w:p>
    <w:p>
      <w:pPr>
        <w:jc w:val="center"/>
      </w:pPr>
      <w:r>
        <w:drawing>
          <wp:inline xmlns:a="http://schemas.openxmlformats.org/drawingml/2006/main" xmlns:pic="http://schemas.openxmlformats.org/drawingml/2006/picture">
            <wp:extent cx="5486400" cy="2425303"/>
            <wp:docPr id="9" name="Picture 9"/>
            <wp:cNvGraphicFramePr>
              <a:graphicFrameLocks noChangeAspect="1"/>
            </wp:cNvGraphicFramePr>
            <a:graphic>
              <a:graphicData uri="http://schemas.openxmlformats.org/drawingml/2006/picture">
                <pic:pic>
                  <pic:nvPicPr>
                    <pic:cNvPr id="0" name="dashboard_05_rpc_publish_interval_2000.jpg"/>
                    <pic:cNvPicPr/>
                  </pic:nvPicPr>
                  <pic:blipFill>
                    <a:blip r:embed="rId17"/>
                    <a:stretch>
                      <a:fillRect/>
                    </a:stretch>
                  </pic:blipFill>
                  <pic:spPr>
                    <a:xfrm>
                      <a:off x="0" y="0"/>
                      <a:ext cx="5486400" cy="2425303"/>
                    </a:xfrm>
                    <a:prstGeom prst="rect"/>
                  </pic:spPr>
                </pic:pic>
              </a:graphicData>
            </a:graphic>
          </wp:inline>
        </w:drawing>
      </w:r>
    </w:p>
    <w:p>
      <w:pPr>
        <w:spacing w:after="280"/>
        <w:jc w:val="center"/>
      </w:pPr>
      <w:r>
        <w:rPr>
          <w:b/>
          <w:sz w:val="19"/>
        </w:rPr>
        <w:t>Figure 9</w:t>
      </w:r>
      <w:r>
        <w:rPr>
          <w:sz w:val="19"/>
        </w:rPr>
        <w:t xml:space="preserve"> — The result of a dashboard command, read back from the cloud. </w:t>
      </w:r>
      <w:r>
        <w:rPr>
          <w:rFonts w:ascii="Consolas" w:hAnsi="Consolas"/>
          <w:sz w:val="19"/>
        </w:rPr>
        <w:t>publish_interval_ms</w:t>
      </w:r>
      <w:r>
        <w:rPr>
          <w:sz w:val="19"/>
        </w:rPr>
        <w:t xml:space="preserve"> is 2000 rather than the compiled-in default of 10000, and </w:t>
      </w:r>
      <w:r>
        <w:rPr>
          <w:rFonts w:ascii="Consolas" w:hAnsi="Consolas"/>
          <w:sz w:val="19"/>
        </w:rPr>
        <w:t>rpc_handled</w:t>
      </w:r>
      <w:r>
        <w:rPr>
          <w:sz w:val="19"/>
        </w:rPr>
        <w:t xml:space="preserve"> has incremented to 1. Because these values are reported *by the device* in its own telemetry, they confirm the command was received and applied, not merely that the dashboard sent it.</w:t>
      </w:r>
    </w:p>
    <w:p>
      <w:pPr>
        <w:jc w:val="center"/>
      </w:pPr>
      <w:r>
        <w:drawing>
          <wp:inline xmlns:a="http://schemas.openxmlformats.org/drawingml/2006/main" xmlns:pic="http://schemas.openxmlformats.org/drawingml/2006/picture">
            <wp:extent cx="5486400" cy="2424793"/>
            <wp:docPr id="10" name="Picture 10"/>
            <wp:cNvGraphicFramePr>
              <a:graphicFrameLocks noChangeAspect="1"/>
            </wp:cNvGraphicFramePr>
            <a:graphic>
              <a:graphicData uri="http://schemas.openxmlformats.org/drawingml/2006/picture">
                <pic:pic>
                  <pic:nvPicPr>
                    <pic:cNvPr id="0" name="dashboard_06_full_system_live.jpg"/>
                    <pic:cNvPicPr/>
                  </pic:nvPicPr>
                  <pic:blipFill>
                    <a:blip r:embed="rId18"/>
                    <a:stretch>
                      <a:fillRect/>
                    </a:stretch>
                  </pic:blipFill>
                  <pic:spPr>
                    <a:xfrm>
                      <a:off x="0" y="0"/>
                      <a:ext cx="5486400" cy="2424793"/>
                    </a:xfrm>
                    <a:prstGeom prst="rect"/>
                  </pic:spPr>
                </pic:pic>
              </a:graphicData>
            </a:graphic>
          </wp:inline>
        </w:drawing>
      </w:r>
    </w:p>
    <w:p>
      <w:pPr>
        <w:spacing w:after="280"/>
        <w:jc w:val="center"/>
      </w:pPr>
      <w:r>
        <w:rPr>
          <w:b/>
          <w:sz w:val="19"/>
        </w:rPr>
        <w:t>Figure 10</w:t>
      </w:r>
      <w:r>
        <w:rPr>
          <w:sz w:val="19"/>
        </w:rPr>
        <w:t xml:space="preserve"> — The complete system in operation. The gateway is </w:t>
      </w:r>
      <w:r>
        <w:rPr>
          <w:b/>
          <w:sz w:val="19"/>
        </w:rPr>
        <w:t>Online</w:t>
      </w:r>
      <w:r>
        <w:rPr>
          <w:sz w:val="19"/>
        </w:rPr>
        <w:t>, its own sensor reads 29.8 °C and 47 %, *Node 1 Communication Age* is counting in milliseconds rather than sitting stale, no alarms are raised, and the three RPC command buttons are available to an operator. This single view covers both directions of the link.</w:t>
      </w:r>
    </w:p>
    <w:p>
      <w:pPr>
        <w:jc w:val="center"/>
      </w:pPr>
      <w:r>
        <w:drawing>
          <wp:inline xmlns:a="http://schemas.openxmlformats.org/drawingml/2006/main" xmlns:pic="http://schemas.openxmlformats.org/drawingml/2006/picture">
            <wp:extent cx="5486400" cy="2424793"/>
            <wp:docPr id="11" name="Picture 11"/>
            <wp:cNvGraphicFramePr>
              <a:graphicFrameLocks noChangeAspect="1"/>
            </wp:cNvGraphicFramePr>
            <a:graphic>
              <a:graphicData uri="http://schemas.openxmlformats.org/drawingml/2006/picture">
                <pic:pic>
                  <pic:nvPicPr>
                    <pic:cNvPr id="0" name="dashboard_07_node1_keys_live.jpg"/>
                    <pic:cNvPicPr/>
                  </pic:nvPicPr>
                  <pic:blipFill>
                    <a:blip r:embed="rId19"/>
                    <a:stretch>
                      <a:fillRect/>
                    </a:stretch>
                  </pic:blipFill>
                  <pic:spPr>
                    <a:xfrm>
                      <a:off x="0" y="0"/>
                      <a:ext cx="5486400" cy="2424793"/>
                    </a:xfrm>
                    <a:prstGeom prst="rect"/>
                  </pic:spPr>
                </pic:pic>
              </a:graphicData>
            </a:graphic>
          </wp:inline>
        </w:drawing>
      </w:r>
    </w:p>
    <w:p>
      <w:pPr>
        <w:spacing w:after="280"/>
        <w:jc w:val="center"/>
      </w:pPr>
      <w:r>
        <w:rPr>
          <w:b/>
          <w:sz w:val="19"/>
        </w:rPr>
        <w:t>Figure 11</w:t>
      </w:r>
      <w:r>
        <w:rPr>
          <w:sz w:val="19"/>
        </w:rPr>
        <w:t xml:space="preserve"> — The cloud's view of the remote node, filtered to the </w:t>
      </w:r>
      <w:r>
        <w:rPr>
          <w:rFonts w:ascii="Consolas" w:hAnsi="Consolas"/>
          <w:sz w:val="19"/>
        </w:rPr>
        <w:t>node1_*</w:t>
      </w:r>
      <w:r>
        <w:rPr>
          <w:sz w:val="19"/>
        </w:rPr>
        <w:t xml:space="preserve"> keys. All five share one timestamp and </w:t>
      </w:r>
      <w:r>
        <w:rPr>
          <w:rFonts w:ascii="Consolas" w:hAnsi="Consolas"/>
          <w:sz w:val="19"/>
        </w:rPr>
        <w:t>node1_online</w:t>
      </w:r>
      <w:r>
        <w:rPr>
          <w:sz w:val="19"/>
        </w:rPr>
        <w:t xml:space="preserve"> is </w:t>
      </w:r>
      <w:r>
        <w:rPr>
          <w:rFonts w:ascii="Consolas" w:hAnsi="Consolas"/>
          <w:sz w:val="19"/>
        </w:rPr>
        <w:t>true</w:t>
      </w:r>
      <w:r>
        <w:rPr>
          <w:sz w:val="19"/>
        </w:rPr>
        <w:t>. These values originate on a board with no network connection of its own; they reached the cloud only by ESP-NOW to the gateway and MQTT onward, which is the central claim of the project reduced to five rows.</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§7.9. The radio link is encrypted and sender-authenticated, but MQTT runs without TLS so the access token crosses the network in clear text, RADIUS certificates are not validated, and all credentials — including the ESP-NOW keys — are compiled into flash and recoverable over USB.</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Buffering is bounded and volatile.</w:t>
      </w:r>
      <w:r>
        <w:t xml:space="preserve"> The store-and-forward ring holds twelve payloads — about two minutes at the default cadence. A longer outage overwrites the oldest entries, which is counted in </w:t>
      </w:r>
      <w:r>
        <w:rPr>
          <w:rFonts w:ascii="Consolas" w:hAnsi="Consolas"/>
          <w:sz w:val="19"/>
        </w:rPr>
        <w:t>dropped_total</w:t>
      </w:r>
      <w:r>
        <w:t xml:space="preserve"> rather than hidden, but is still data loss. The buffer is in RAM, so it survives a network outage but not a power cycle. Both are deliberate trades rather than oversights, and §11 records what closing them would require.</w:t>
      </w:r>
    </w:p>
    <w:p>
      <w:r>
        <w:rPr>
          <w:b/>
        </w:rPr>
        <w:t>Manual channel configuration — observed, not hypothetical.</w:t>
      </w:r>
      <w:r>
        <w:t xml:space="preserve"> If the gateway roams to an access point on a different channel, the ESP-NOW link stops working while Wi-Fi and MQTT remain healthy.</w:t>
      </w:r>
    </w:p>
    <w:p>
      <w:r>
        <w:t xml:space="preserve">This occurred during testing. The gateway associated on channel 1, and later roamed to a different access point on channel 11 while the node remained pinned to channel 1. Delivery stopped completely: </w:t>
      </w:r>
      <w:r>
        <w:rPr>
          <w:rFonts w:ascii="Consolas" w:hAnsi="Consolas"/>
          <w:sz w:val="19"/>
        </w:rPr>
        <w:t>espnow_received_count</w:t>
      </w:r>
      <w:r>
        <w:t xml:space="preserve"> froze at zero, the node reported </w:t>
      </w:r>
      <w:r>
        <w:rPr>
          <w:rFonts w:ascii="Consolas" w:hAnsi="Consolas"/>
          <w:sz w:val="19"/>
        </w:rPr>
        <w:t>FAILED (no ack)</w:t>
      </w:r>
      <w:r>
        <w:t xml:space="preserve"> on every transmission, and the gateway continued publishing its own local readings to the cloud without interruption. Every indicator that a casual observer would check looked healthy.</w:t>
      </w:r>
    </w:p>
    <w:p>
      <w:r>
        <w:t xml:space="preserve">The incident was diagnosed from the gateway's own boot banner, which reports the active channel on every reconnection, and resolved by updating </w:t>
      </w:r>
      <w:r>
        <w:rPr>
          <w:rFonts w:ascii="Consolas" w:hAnsi="Consolas"/>
          <w:sz w:val="19"/>
        </w:rPr>
        <w:t>ESPNOW_CHANNEL</w:t>
      </w:r>
      <w:r>
        <w:t xml:space="preserve"> in the node firmware and re-uploading. Recovery took under two minutes but required physical access to the node.</w:t>
      </w:r>
    </w:p>
    <w:p>
      <w:r>
        <w:t>It then recurred. Over a single day the gateway was observed on channels 1, 11 and 6 in turn, and on the final occasion the node had been pinned to 6 while the gateway had settled back on 1 — the same silent failure, reached from the opposite direction. The recurrence is the point: this is not a one-off mistake that care prevents, it is a standing property of running ESP-NOW alongside a managed enterprise network, and any deployment on eduroam must either automate the channel or accept a link that breaks whenever the access point decides it should.</w:t>
      </w:r>
    </w:p>
    <w:p>
      <w:r>
        <w:t>Two lessons follow. First, this is the strongest argument in the project for the diagnostic output described in §7.5 — without a gateway that reports its own channel, the failure presents as "the remote sensor stopped working" with no indication of why. Second, it is the reason the demonstration procedure begins by re-reading the channel in the room where the demonstration will occur, rather than trusting a value recorded elsewhere.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TLS MQTT on port 8883</w:t>
      </w:r>
      <w:r>
        <w:t>, closing the one remaining plaintext path now that the radio link is encrypted.</w:t>
      </w:r>
    </w:p>
    <w:p>
      <w:pPr>
        <w:pStyle w:val="ListNumber"/>
      </w:pPr>
      <w:r>
        <w:rPr>
          <w:b/>
        </w:rPr>
        <w:t>Credentials in NVS</w:t>
      </w:r>
      <w:r>
        <w:t>, provisioned at first boot rather than compiled in — which would also remove the ESP-NOW keys from the firmware image.</w:t>
      </w:r>
    </w:p>
    <w:p>
      <w:pPr>
        <w:pStyle w:val="ListNumber"/>
      </w:pPr>
      <w:r>
        <w:rPr>
          <w:b/>
        </w:rPr>
        <w:t>Over-the-air firmware update.</w:t>
      </w:r>
      <w:r>
        <w:t xml:space="preserve"> Currently every change requires physical access to both boards. This is the change with the greatest operational impact, since the channel-roam incident in §9 required exactly that physical access to resolve.</w:t>
      </w:r>
    </w:p>
    <w:p>
      <w:pPr>
        <w:pStyle w:val="ListNumber"/>
      </w:pPr>
      <w:r>
        <w:rPr>
          <w:b/>
        </w:rPr>
        <w:t>Automatic channel recovery</w:t>
      </w:r>
      <w:r>
        <w:t xml:space="preserve"> — the node could scan for the gateway rather than being pinned to a hard-coded channel, which would have prevented that incident entirely.</w:t>
      </w:r>
    </w:p>
    <w:p>
      <w:pPr>
        <w:pStyle w:val="ListNumber"/>
      </w:pPr>
      <w:r>
        <w:rPr>
          <w:b/>
        </w:rPr>
        <w:t>Flash-backed buffering</w:t>
      </w:r>
      <w:r>
        <w:t>, so the store-and-forward queue survives power loss as well as network loss.</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Video evidence</w:t>
      </w:r>
    </w:p>
    <w:p>
      <w:r>
        <w:t>The demonstration recordings are hosted on OneDrive. Both links are view-accessible without a sign-in.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Recording</w:t>
            </w:r>
          </w:p>
        </w:tc>
        <w:tc>
          <w:tcPr>
            <w:tcW w:type="dxa" w:w="2160"/>
          </w:tcPr>
          <w:p>
            <w:pPr>
              <w:spacing w:after="40"/>
            </w:pPr>
            <w:r>
              <w:rPr>
                <w:b/>
                <w:sz w:val="19"/>
              </w:rPr>
            </w:r>
            <w:r>
              <w:rPr>
                <w:b/>
                <w:sz w:val="19"/>
              </w:rPr>
              <w:t>Length</w:t>
            </w:r>
          </w:p>
        </w:tc>
        <w:tc>
          <w:tcPr>
            <w:tcW w:type="dxa" w:w="2160"/>
          </w:tcPr>
          <w:p>
            <w:pPr>
              <w:spacing w:after="40"/>
            </w:pPr>
            <w:r>
              <w:rPr>
                <w:b/>
                <w:sz w:val="19"/>
              </w:rPr>
            </w:r>
            <w:r>
              <w:rPr>
                <w:b/>
                <w:sz w:val="19"/>
              </w:rPr>
              <w:t>Contents</w:t>
            </w:r>
          </w:p>
        </w:tc>
        <w:tc>
          <w:tcPr>
            <w:tcW w:type="dxa" w:w="2160"/>
          </w:tcPr>
          <w:p>
            <w:pPr>
              <w:spacing w:after="40"/>
            </w:pPr>
            <w:r>
              <w:rPr>
                <w:b/>
                <w:sz w:val="19"/>
              </w:rPr>
            </w:r>
            <w:r>
              <w:rPr>
                <w:b/>
                <w:sz w:val="19"/>
              </w:rPr>
              <w:t>Link</w:t>
            </w:r>
          </w:p>
        </w:tc>
      </w:tr>
      <w:tr>
        <w:tc>
          <w:tcPr>
            <w:tcW w:type="dxa" w:w="2160"/>
          </w:tcPr>
          <w:p>
            <w:pPr>
              <w:spacing w:after="40"/>
            </w:pPr>
            <w:r>
              <w:rPr>
                <w:sz w:val="19"/>
              </w:rPr>
            </w:r>
            <w:r>
              <w:rPr>
                <w:sz w:val="19"/>
              </w:rPr>
              <w:t>System demonstration</w:t>
            </w:r>
          </w:p>
        </w:tc>
        <w:tc>
          <w:tcPr>
            <w:tcW w:type="dxa" w:w="2160"/>
          </w:tcPr>
          <w:p>
            <w:pPr>
              <w:spacing w:after="40"/>
            </w:pPr>
            <w:r>
              <w:rPr>
                <w:sz w:val="19"/>
              </w:rPr>
            </w:r>
            <w:r>
              <w:rPr>
                <w:sz w:val="19"/>
              </w:rPr>
              <w:t>~6 min</w:t>
            </w:r>
          </w:p>
        </w:tc>
        <w:tc>
          <w:tcPr>
            <w:tcW w:type="dxa" w:w="2160"/>
          </w:tcPr>
          <w:p>
            <w:pPr>
              <w:spacing w:after="40"/>
            </w:pPr>
            <w:r>
              <w:rPr>
                <w:sz w:val="19"/>
              </w:rPr>
            </w:r>
            <w:r>
              <w:rPr>
                <w:sz w:val="19"/>
              </w:rPr>
              <w:t>Both boards powered, serial output from each, live telemetry reaching ThingsBoard, a dashboard command changing device behaviour, and the node going stale and recovering</w:t>
            </w:r>
          </w:p>
        </w:tc>
        <w:tc>
          <w:tcPr>
            <w:tcW w:type="dxa" w:w="2160"/>
          </w:tcPr>
          <w:p>
            <w:pPr>
              <w:spacing w:after="40"/>
            </w:pPr>
            <w:r>
              <w:rPr>
                <w:sz w:val="19"/>
              </w:rPr>
            </w:r>
            <w:r>
              <w:rPr>
                <w:sz w:val="19"/>
              </w:rPr>
              <w:t>*[paste OneDrive share link]*</w:t>
            </w:r>
          </w:p>
        </w:tc>
      </w:tr>
      <w:tr>
        <w:tc>
          <w:tcPr>
            <w:tcW w:type="dxa" w:w="2160"/>
          </w:tcPr>
          <w:p>
            <w:pPr>
              <w:spacing w:after="40"/>
            </w:pPr>
            <w:r>
              <w:rPr>
                <w:sz w:val="19"/>
              </w:rPr>
            </w:r>
            <w:r>
              <w:rPr>
                <w:sz w:val="19"/>
              </w:rPr>
              <w:t>Presentation</w:t>
            </w:r>
          </w:p>
        </w:tc>
        <w:tc>
          <w:tcPr>
            <w:tcW w:type="dxa" w:w="2160"/>
          </w:tcPr>
          <w:p>
            <w:pPr>
              <w:spacing w:after="40"/>
            </w:pPr>
            <w:r>
              <w:rPr>
                <w:sz w:val="19"/>
              </w:rPr>
            </w:r>
            <w:r>
              <w:rPr>
                <w:sz w:val="19"/>
              </w:rPr>
              <w:t>~10 min</w:t>
            </w:r>
          </w:p>
        </w:tc>
        <w:tc>
          <w:tcPr>
            <w:tcW w:type="dxa" w:w="2160"/>
          </w:tcPr>
          <w:p>
            <w:pPr>
              <w:spacing w:after="40"/>
            </w:pPr>
            <w:r>
              <w:rPr>
                <w:sz w:val="19"/>
              </w:rPr>
            </w:r>
            <w:r>
              <w:rPr>
                <w:sz w:val="19"/>
              </w:rPr>
              <w:t>Slide walkthrough against the marking domains, followed by the live demonstration</w:t>
            </w:r>
          </w:p>
        </w:tc>
        <w:tc>
          <w:tcPr>
            <w:tcW w:type="dxa" w:w="2160"/>
          </w:tcPr>
          <w:p>
            <w:pPr>
              <w:spacing w:after="40"/>
            </w:pPr>
            <w:r>
              <w:rPr>
                <w:sz w:val="19"/>
              </w:rPr>
            </w:r>
            <w:r>
              <w:rPr>
                <w:sz w:val="19"/>
              </w:rPr>
              <w:t>*[paste OneDrive share link]*</w:t>
            </w:r>
          </w:p>
        </w:tc>
      </w:tr>
    </w:tbl>
    <w:p/>
    <w:p>
      <w:r>
        <w:rPr>
          <w:rFonts w:ascii="Consolas" w:hAnsi="Consolas"/>
          <w:sz w:val="19"/>
        </w:rPr>
        <w:t>DEMO_PLAN.md</w:t>
      </w:r>
      <w:r>
        <w:t xml:space="preserve"> in the repository carries the runsheet these recordings follow, including the pre-flight checks and the intended order of the six demonstration steps.</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r>
        <w:tc>
          <w:tcPr>
            <w:tcW w:type="dxa" w:w="2880"/>
          </w:tcPr>
          <w:p>
            <w:pPr>
              <w:spacing w:after="40"/>
            </w:pPr>
            <w:r>
              <w:rPr>
                <w:sz w:val="19"/>
              </w:rPr>
            </w:r>
            <w:r>
              <w:rPr>
                <w:rFonts w:ascii="Consolas" w:hAnsi="Consolas"/>
                <w:sz w:val="19"/>
              </w:rPr>
              <w:t>buffered_now</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currently queued awaiting the broker</w:t>
            </w:r>
          </w:p>
        </w:tc>
      </w:tr>
      <w:tr>
        <w:tc>
          <w:tcPr>
            <w:tcW w:type="dxa" w:w="2880"/>
          </w:tcPr>
          <w:p>
            <w:pPr>
              <w:spacing w:after="40"/>
            </w:pPr>
            <w:r>
              <w:rPr>
                <w:sz w:val="19"/>
              </w:rPr>
            </w:r>
            <w:r>
              <w:rPr>
                <w:rFonts w:ascii="Consolas" w:hAnsi="Consolas"/>
                <w:sz w:val="19"/>
              </w:rPr>
              <w:t>buffered_total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queued since boot</w:t>
            </w:r>
          </w:p>
        </w:tc>
      </w:tr>
      <w:tr>
        <w:tc>
          <w:tcPr>
            <w:tcW w:type="dxa" w:w="2880"/>
          </w:tcPr>
          <w:p>
            <w:pPr>
              <w:spacing w:after="40"/>
            </w:pPr>
            <w:r>
              <w:rPr>
                <w:sz w:val="19"/>
              </w:rPr>
            </w:r>
            <w:r>
              <w:rPr>
                <w:rFonts w:ascii="Consolas" w:hAnsi="Consolas"/>
                <w:sz w:val="19"/>
              </w:rPr>
              <w:t>dropped_total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overwritten before they could be sent</w:t>
            </w:r>
          </w:p>
        </w:tc>
      </w:tr>
      <w:tr>
        <w:tc>
          <w:tcPr>
            <w:tcW w:type="dxa" w:w="2880"/>
          </w:tcPr>
          <w:p>
            <w:pPr>
              <w:spacing w:after="40"/>
            </w:pPr>
            <w:r>
              <w:rPr>
                <w:sz w:val="19"/>
              </w:rPr>
            </w:r>
            <w:r>
              <w:rPr>
                <w:rFonts w:ascii="Consolas" w:hAnsi="Consolas"/>
                <w:sz w:val="19"/>
              </w:rPr>
              <w:t>rpc_handled</w:t>
            </w:r>
          </w:p>
        </w:tc>
        <w:tc>
          <w:tcPr>
            <w:tcW w:type="dxa" w:w="2880"/>
          </w:tcPr>
          <w:p>
            <w:pPr>
              <w:spacing w:after="40"/>
            </w:pPr>
            <w:r>
              <w:rPr>
                <w:sz w:val="19"/>
              </w:rPr>
            </w:r>
            <w:r>
              <w:rPr>
                <w:sz w:val="19"/>
              </w:rPr>
              <w:t>number</w:t>
            </w:r>
          </w:p>
        </w:tc>
        <w:tc>
          <w:tcPr>
            <w:tcW w:type="dxa" w:w="2880"/>
          </w:tcPr>
          <w:p>
            <w:pPr>
              <w:spacing w:after="40"/>
            </w:pPr>
            <w:r>
              <w:rPr>
                <w:sz w:val="19"/>
              </w:rPr>
            </w:r>
            <w:r>
              <w:rPr>
                <w:sz w:val="19"/>
              </w:rPr>
              <w:t>Server-to-device commands accepted</w:t>
            </w:r>
          </w:p>
        </w:tc>
      </w:tr>
      <w:tr>
        <w:tc>
          <w:tcPr>
            <w:tcW w:type="dxa" w:w="2880"/>
          </w:tcPr>
          <w:p>
            <w:pPr>
              <w:spacing w:after="40"/>
            </w:pPr>
            <w:r>
              <w:rPr>
                <w:sz w:val="19"/>
              </w:rPr>
            </w:r>
            <w:r>
              <w:rPr>
                <w:rFonts w:ascii="Consolas" w:hAnsi="Consolas"/>
                <w:sz w:val="19"/>
              </w:rPr>
              <w:t>publish_interval_ms</w:t>
            </w:r>
          </w:p>
        </w:tc>
        <w:tc>
          <w:tcPr>
            <w:tcW w:type="dxa" w:w="2880"/>
          </w:tcPr>
          <w:p>
            <w:pPr>
              <w:spacing w:after="40"/>
            </w:pPr>
            <w:r>
              <w:rPr>
                <w:sz w:val="19"/>
              </w:rPr>
            </w:r>
            <w:r>
              <w:rPr>
                <w:sz w:val="19"/>
              </w:rPr>
              <w:t>number</w:t>
            </w:r>
          </w:p>
        </w:tc>
        <w:tc>
          <w:tcPr>
            <w:tcW w:type="dxa" w:w="2880"/>
          </w:tcPr>
          <w:p>
            <w:pPr>
              <w:spacing w:after="40"/>
            </w:pPr>
            <w:r>
              <w:rPr>
                <w:sz w:val="19"/>
              </w:rPr>
            </w:r>
            <w:r>
              <w:rPr>
                <w:sz w:val="19"/>
              </w:rPr>
              <w:t>Current telemetry cadence, settable by RPC</w:t>
            </w:r>
          </w:p>
        </w:tc>
      </w:tr>
    </w:tbl>
    <w:p/>
    <w:p>
      <w:pPr>
        <w:pStyle w:val="Heading3"/>
      </w:pPr>
      <w:r>
        <w:t>Server-to-device RPC methods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Returns</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Liveness, counters, queue depth, interval,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 (2000–300000)</w:t>
            </w:r>
          </w:p>
        </w:tc>
        <w:tc>
          <w:tcPr>
            <w:tcW w:type="dxa" w:w="2880"/>
          </w:tcPr>
          <w:p>
            <w:pPr>
              <w:spacing w:after="40"/>
            </w:pPr>
            <w:r>
              <w:rPr>
                <w:sz w:val="19"/>
              </w:rPr>
            </w:r>
            <w:r>
              <w:rPr>
                <w:rFonts w:ascii="Consolas" w:hAnsi="Consolas"/>
                <w:sz w:val="19"/>
              </w:rPr>
              <w:t>{"ok":true,...}</w:t>
            </w:r>
            <w:r>
              <w:rPr>
                <w:sz w:val="19"/>
              </w:rPr>
              <w:t xml:space="preserve"> or a rejection with the valid range</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rFonts w:ascii="Consolas" w:hAnsi="Consolas"/>
                <w:sz w:val="19"/>
              </w:rPr>
              <w:t>{"ok":true,"reset":true}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