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8_mesh_both_traces.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recordings are hosted on OneDrive. Both links are view-accessible without a sign-in.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Recording</w:t>
            </w:r>
          </w:p>
        </w:tc>
        <w:tc>
          <w:tcPr>
            <w:tcW w:type="dxa" w:w="2160"/>
          </w:tcPr>
          <w:p>
            <w:pPr>
              <w:spacing w:after="40"/>
            </w:pPr>
            <w:r>
              <w:rPr>
                <w:b/>
                <w:sz w:val="19"/>
              </w:rPr>
            </w:r>
            <w:r>
              <w:rPr>
                <w:b/>
                <w:sz w:val="19"/>
              </w:rPr>
              <w:t>Length</w:t>
            </w:r>
          </w:p>
        </w:tc>
        <w:tc>
          <w:tcPr>
            <w:tcW w:type="dxa" w:w="2160"/>
          </w:tcPr>
          <w:p>
            <w:pPr>
              <w:spacing w:after="40"/>
            </w:pPr>
            <w:r>
              <w:rPr>
                <w:b/>
                <w:sz w:val="19"/>
              </w:rPr>
            </w:r>
            <w:r>
              <w:rPr>
                <w:b/>
                <w:sz w:val="19"/>
              </w:rPr>
              <w:t>Contents</w:t>
            </w:r>
          </w:p>
        </w:tc>
        <w:tc>
          <w:tcPr>
            <w:tcW w:type="dxa" w:w="2160"/>
          </w:tcPr>
          <w:p>
            <w:pPr>
              <w:spacing w:after="40"/>
            </w:pPr>
            <w:r>
              <w:rPr>
                <w:b/>
                <w:sz w:val="19"/>
              </w:rPr>
            </w:r>
            <w:r>
              <w:rPr>
                <w:b/>
                <w:sz w:val="19"/>
              </w:rPr>
              <w:t>Link</w:t>
            </w:r>
          </w:p>
        </w:tc>
      </w:tr>
      <w:tr>
        <w:tc>
          <w:tcPr>
            <w:tcW w:type="dxa" w:w="2160"/>
          </w:tcPr>
          <w:p>
            <w:pPr>
              <w:spacing w:after="40"/>
            </w:pPr>
            <w:r>
              <w:rPr>
                <w:sz w:val="19"/>
              </w:rPr>
            </w:r>
            <w:r>
              <w:rPr>
                <w:sz w:val="19"/>
              </w:rPr>
              <w:t>System demonstration</w:t>
            </w:r>
          </w:p>
        </w:tc>
        <w:tc>
          <w:tcPr>
            <w:tcW w:type="dxa" w:w="2160"/>
          </w:tcPr>
          <w:p>
            <w:pPr>
              <w:spacing w:after="40"/>
            </w:pPr>
            <w:r>
              <w:rPr>
                <w:sz w:val="19"/>
              </w:rPr>
            </w:r>
            <w:r>
              <w:rPr>
                <w:sz w:val="19"/>
              </w:rPr>
              <w:t>~6 min</w:t>
            </w:r>
          </w:p>
        </w:tc>
        <w:tc>
          <w:tcPr>
            <w:tcW w:type="dxa" w:w="2160"/>
          </w:tcPr>
          <w:p>
            <w:pPr>
              <w:spacing w:after="40"/>
            </w:pPr>
            <w:r>
              <w:rPr>
                <w:sz w:val="19"/>
              </w:rPr>
            </w:r>
            <w:r>
              <w:rPr>
                <w:sz w:val="19"/>
              </w:rPr>
              <w:t>Both boards powered, serial output from each, live telemetry reaching ThingsBoard, a dashboard command changing device behaviour, and the node going stale and recovering</w:t>
            </w:r>
          </w:p>
        </w:tc>
        <w:tc>
          <w:tcPr>
            <w:tcW w:type="dxa" w:w="2160"/>
          </w:tcPr>
          <w:p>
            <w:pPr>
              <w:spacing w:after="40"/>
            </w:pPr>
            <w:r>
              <w:rPr>
                <w:sz w:val="19"/>
              </w:rPr>
            </w:r>
            <w:r>
              <w:rPr>
                <w:sz w:val="19"/>
              </w:rPr>
              <w:t>*[paste OneDrive share link]*</w:t>
            </w:r>
          </w:p>
        </w:tc>
      </w:tr>
      <w:tr>
        <w:tc>
          <w:tcPr>
            <w:tcW w:type="dxa" w:w="2160"/>
          </w:tcPr>
          <w:p>
            <w:pPr>
              <w:spacing w:after="40"/>
            </w:pPr>
            <w:r>
              <w:rPr>
                <w:sz w:val="19"/>
              </w:rPr>
            </w:r>
            <w:r>
              <w:rPr>
                <w:sz w:val="19"/>
              </w:rPr>
              <w:t>Presentation</w:t>
            </w:r>
          </w:p>
        </w:tc>
        <w:tc>
          <w:tcPr>
            <w:tcW w:type="dxa" w:w="2160"/>
          </w:tcPr>
          <w:p>
            <w:pPr>
              <w:spacing w:after="40"/>
            </w:pPr>
            <w:r>
              <w:rPr>
                <w:sz w:val="19"/>
              </w:rPr>
            </w:r>
            <w:r>
              <w:rPr>
                <w:sz w:val="19"/>
              </w:rPr>
              <w:t>~10 min</w:t>
            </w:r>
          </w:p>
        </w:tc>
        <w:tc>
          <w:tcPr>
            <w:tcW w:type="dxa" w:w="2160"/>
          </w:tcPr>
          <w:p>
            <w:pPr>
              <w:spacing w:after="40"/>
            </w:pPr>
            <w:r>
              <w:rPr>
                <w:sz w:val="19"/>
              </w:rPr>
            </w:r>
            <w:r>
              <w:rPr>
                <w:sz w:val="19"/>
              </w:rPr>
              <w:t>Slide walkthrough against the marking domains, followed by the live demonstration</w:t>
            </w:r>
          </w:p>
        </w:tc>
        <w:tc>
          <w:tcPr>
            <w:tcW w:type="dxa" w:w="2160"/>
          </w:tcPr>
          <w:p>
            <w:pPr>
              <w:spacing w:after="40"/>
            </w:pPr>
            <w:r>
              <w:rPr>
                <w:sz w:val="19"/>
              </w:rPr>
            </w:r>
            <w:r>
              <w:rPr>
                <w:sz w:val="19"/>
              </w:rPr>
              <w:t>*[paste OneDrive share link]*</w:t>
            </w:r>
          </w:p>
        </w:tc>
      </w:tr>
    </w:tbl>
    <w:p/>
    <w:p>
      <w:r>
        <w:t>Two screen recordings of the cloud tier are included in the repository and do not depend on those links: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File</w:t>
            </w:r>
          </w:p>
        </w:tc>
        <w:tc>
          <w:tcPr>
            <w:tcW w:type="dxa" w:w="2880"/>
          </w:tcPr>
          <w:p>
            <w:pPr>
              <w:spacing w:after="40"/>
            </w:pPr>
            <w:r>
              <w:rPr>
                <w:b/>
                <w:sz w:val="19"/>
              </w:rPr>
            </w:r>
            <w:r>
              <w:rPr>
                <w:b/>
                <w:sz w:val="19"/>
              </w:rPr>
              <w:t>Frames</w:t>
            </w:r>
          </w:p>
        </w:tc>
        <w:tc>
          <w:tcPr>
            <w:tcW w:type="dxa" w:w="2880"/>
          </w:tcPr>
          <w:p>
            <w:pPr>
              <w:spacing w:after="40"/>
            </w:pPr>
            <w:r>
              <w:rPr>
                <w:b/>
                <w:sz w:val="19"/>
              </w:rPr>
            </w:r>
            <w:r>
              <w:rPr>
                <w:b/>
                <w:sz w:val="19"/>
              </w:rPr>
              <w:t>Contents</w:t>
            </w:r>
          </w:p>
        </w:tc>
      </w:tr>
      <w:tr>
        <w:tc>
          <w:tcPr>
            <w:tcW w:type="dxa" w:w="2880"/>
          </w:tcPr>
          <w:p>
            <w:pPr>
              <w:spacing w:after="40"/>
            </w:pPr>
            <w:r>
              <w:rPr>
                <w:sz w:val="19"/>
              </w:rPr>
            </w:r>
            <w:r>
              <w:rPr>
                <w:rFonts w:ascii="Consolas" w:hAnsi="Consolas"/>
                <w:sz w:val="19"/>
              </w:rPr>
              <w:t>evidence/video_02_thingsboard_walkthrough.gif</w:t>
            </w:r>
          </w:p>
        </w:tc>
        <w:tc>
          <w:tcPr>
            <w:tcW w:type="dxa" w:w="2880"/>
          </w:tcPr>
          <w:p>
            <w:pPr>
              <w:spacing w:after="40"/>
            </w:pPr>
            <w:r>
              <w:rPr>
                <w:sz w:val="19"/>
              </w:rPr>
            </w:r>
            <w:r>
              <w:rPr>
                <w:sz w:val="19"/>
              </w:rPr>
              <w:t>46</w:t>
            </w:r>
          </w:p>
        </w:tc>
        <w:tc>
          <w:tcPr>
            <w:tcW w:type="dxa" w:w="2880"/>
          </w:tcPr>
          <w:p>
            <w:pPr>
              <w:spacing w:after="40"/>
            </w:pPr>
            <w:r>
              <w:rPr>
                <w:sz w:val="19"/>
              </w:rPr>
            </w:r>
            <w:r>
              <w:rPr>
                <w:sz w:val="19"/>
              </w:rPr>
              <w:t xml:space="preserve">Captioned walkthrough — gateway online, node communication age counting in milliseconds, the RPC command being sent and the device reporting the change back, the </w:t>
            </w:r>
            <w:r>
              <w:rPr>
                <w:rFonts w:ascii="Consolas" w:hAnsi="Consolas"/>
                <w:sz w:val="19"/>
              </w:rPr>
              <w:t>node1_*</w:t>
            </w:r>
            <w:r>
              <w:rPr>
                <w:sz w:val="19"/>
              </w:rPr>
              <w:t xml:space="preserve"> keys, and both sensors on one chart</w:t>
            </w:r>
          </w:p>
        </w:tc>
      </w:tr>
      <w:tr>
        <w:tc>
          <w:tcPr>
            <w:tcW w:type="dxa" w:w="2880"/>
          </w:tcPr>
          <w:p>
            <w:pPr>
              <w:spacing w:after="40"/>
            </w:pPr>
            <w:r>
              <w:rPr>
                <w:sz w:val="19"/>
              </w:rPr>
            </w:r>
            <w:r>
              <w:rPr>
                <w:rFonts w:ascii="Consolas" w:hAnsi="Consolas"/>
                <w:sz w:val="19"/>
              </w:rPr>
              <w:t>evidence/video_01_thingsboard_rpc_demo.gif</w:t>
            </w:r>
          </w:p>
        </w:tc>
        <w:tc>
          <w:tcPr>
            <w:tcW w:type="dxa" w:w="2880"/>
          </w:tcPr>
          <w:p>
            <w:pPr>
              <w:spacing w:after="40"/>
            </w:pPr>
            <w:r>
              <w:rPr>
                <w:sz w:val="19"/>
              </w:rPr>
            </w:r>
            <w:r>
              <w:rPr>
                <w:sz w:val="19"/>
              </w:rPr>
              <w:t>16</w:t>
            </w:r>
          </w:p>
        </w:tc>
        <w:tc>
          <w:tcPr>
            <w:tcW w:type="dxa" w:w="2880"/>
          </w:tcPr>
          <w:p>
            <w:pPr>
              <w:spacing w:after="40"/>
            </w:pPr>
            <w:r>
              <w:rPr>
                <w:sz w:val="19"/>
              </w:rPr>
            </w:r>
            <w:r>
              <w:rPr>
                <w:sz w:val="19"/>
              </w:rPr>
              <w:t>Shorter capture of the RPC round trip alone</w:t>
            </w:r>
          </w:p>
        </w:tc>
      </w:tr>
    </w:tbl>
    <w:p/>
    <w:p>
      <w:r>
        <w:t>These cover the cloud tier only. They contain no footage of the boards, so they supplement the demonstration video rather than replacing it; the hardware shots and the physical interventions in §8.5 and §8.6 have to be filmed.</w:t>
      </w:r>
    </w:p>
    <w:p>
      <w:r>
        <w:rPr>
          <w:rFonts w:ascii="Consolas" w:hAnsi="Consolas"/>
          <w:sz w:val="19"/>
        </w:rPr>
        <w:t>DEMO_PLAN.md</w:t>
      </w:r>
      <w:r>
        <w:t xml:space="preserve"> in the repository carries the runsheet these recordings follow, including the pre-flight checks and the intended order of the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