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8_mesh_both_traces.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recordings are hosted on OneDrive. Both links are view-accessible without a sign-in.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Recording</w:t>
            </w:r>
          </w:p>
        </w:tc>
        <w:tc>
          <w:tcPr>
            <w:tcW w:type="dxa" w:w="2160"/>
          </w:tcPr>
          <w:p>
            <w:pPr>
              <w:spacing w:after="40"/>
            </w:pPr>
            <w:r>
              <w:rPr>
                <w:b/>
                <w:sz w:val="19"/>
              </w:rPr>
            </w:r>
            <w:r>
              <w:rPr>
                <w:b/>
                <w:sz w:val="19"/>
              </w:rPr>
              <w:t>Length</w:t>
            </w:r>
          </w:p>
        </w:tc>
        <w:tc>
          <w:tcPr>
            <w:tcW w:type="dxa" w:w="2160"/>
          </w:tcPr>
          <w:p>
            <w:pPr>
              <w:spacing w:after="40"/>
            </w:pPr>
            <w:r>
              <w:rPr>
                <w:b/>
                <w:sz w:val="19"/>
              </w:rPr>
            </w:r>
            <w:r>
              <w:rPr>
                <w:b/>
                <w:sz w:val="19"/>
              </w:rPr>
              <w:t>Contents</w:t>
            </w:r>
          </w:p>
        </w:tc>
        <w:tc>
          <w:tcPr>
            <w:tcW w:type="dxa" w:w="2160"/>
          </w:tcPr>
          <w:p>
            <w:pPr>
              <w:spacing w:after="40"/>
            </w:pPr>
            <w:r>
              <w:rPr>
                <w:b/>
                <w:sz w:val="19"/>
              </w:rPr>
            </w:r>
            <w:r>
              <w:rPr>
                <w:b/>
                <w:sz w:val="19"/>
              </w:rPr>
              <w:t>Link</w:t>
            </w:r>
          </w:p>
        </w:tc>
      </w:tr>
      <w:tr>
        <w:tc>
          <w:tcPr>
            <w:tcW w:type="dxa" w:w="2160"/>
          </w:tcPr>
          <w:p>
            <w:pPr>
              <w:spacing w:after="40"/>
            </w:pPr>
            <w:r>
              <w:rPr>
                <w:sz w:val="19"/>
              </w:rPr>
            </w:r>
            <w:r>
              <w:rPr>
                <w:sz w:val="19"/>
              </w:rPr>
              <w:t>System demonstration</w:t>
            </w:r>
          </w:p>
        </w:tc>
        <w:tc>
          <w:tcPr>
            <w:tcW w:type="dxa" w:w="2160"/>
          </w:tcPr>
          <w:p>
            <w:pPr>
              <w:spacing w:after="40"/>
            </w:pPr>
            <w:r>
              <w:rPr>
                <w:sz w:val="19"/>
              </w:rPr>
            </w:r>
            <w:r>
              <w:rPr>
                <w:sz w:val="19"/>
              </w:rPr>
              <w:t>~6 min</w:t>
            </w:r>
          </w:p>
        </w:tc>
        <w:tc>
          <w:tcPr>
            <w:tcW w:type="dxa" w:w="2160"/>
          </w:tcPr>
          <w:p>
            <w:pPr>
              <w:spacing w:after="40"/>
            </w:pPr>
            <w:r>
              <w:rPr>
                <w:sz w:val="19"/>
              </w:rPr>
            </w:r>
            <w:r>
              <w:rPr>
                <w:sz w:val="19"/>
              </w:rPr>
              <w:t>Both boards powered, serial output from each, live telemetry reaching ThingsBoard, a dashboard command changing device behaviour, and the node going stale and recovering</w:t>
            </w:r>
          </w:p>
        </w:tc>
        <w:tc>
          <w:tcPr>
            <w:tcW w:type="dxa" w:w="2160"/>
          </w:tcPr>
          <w:p>
            <w:pPr>
              <w:spacing w:after="40"/>
            </w:pPr>
            <w:r>
              <w:rPr>
                <w:sz w:val="19"/>
              </w:rPr>
            </w:r>
            <w:r>
              <w:rPr>
                <w:sz w:val="19"/>
              </w:rPr>
              <w:t>*[paste OneDrive share link]*</w:t>
            </w:r>
          </w:p>
        </w:tc>
      </w:tr>
      <w:tr>
        <w:tc>
          <w:tcPr>
            <w:tcW w:type="dxa" w:w="2160"/>
          </w:tcPr>
          <w:p>
            <w:pPr>
              <w:spacing w:after="40"/>
            </w:pPr>
            <w:r>
              <w:rPr>
                <w:sz w:val="19"/>
              </w:rPr>
            </w:r>
            <w:r>
              <w:rPr>
                <w:sz w:val="19"/>
              </w:rPr>
              <w:t>Presentation</w:t>
            </w:r>
          </w:p>
        </w:tc>
        <w:tc>
          <w:tcPr>
            <w:tcW w:type="dxa" w:w="2160"/>
          </w:tcPr>
          <w:p>
            <w:pPr>
              <w:spacing w:after="40"/>
            </w:pPr>
            <w:r>
              <w:rPr>
                <w:sz w:val="19"/>
              </w:rPr>
            </w:r>
            <w:r>
              <w:rPr>
                <w:sz w:val="19"/>
              </w:rPr>
              <w:t>~10 min</w:t>
            </w:r>
          </w:p>
        </w:tc>
        <w:tc>
          <w:tcPr>
            <w:tcW w:type="dxa" w:w="2160"/>
          </w:tcPr>
          <w:p>
            <w:pPr>
              <w:spacing w:after="40"/>
            </w:pPr>
            <w:r>
              <w:rPr>
                <w:sz w:val="19"/>
              </w:rPr>
            </w:r>
            <w:r>
              <w:rPr>
                <w:sz w:val="19"/>
              </w:rPr>
              <w:t>Slide walkthrough against the marking domains, followed by the live demonstration</w:t>
            </w:r>
          </w:p>
        </w:tc>
        <w:tc>
          <w:tcPr>
            <w:tcW w:type="dxa" w:w="2160"/>
          </w:tcPr>
          <w:p>
            <w:pPr>
              <w:spacing w:after="40"/>
            </w:pPr>
            <w:r>
              <w:rPr>
                <w:sz w:val="19"/>
              </w:rPr>
            </w:r>
            <w:r>
              <w:rPr>
                <w:sz w:val="19"/>
              </w:rPr>
              <w:t>*[paste OneDrive share link]*</w:t>
            </w:r>
          </w:p>
        </w:tc>
      </w:tr>
    </w:tbl>
    <w:p/>
    <w:p>
      <w:r>
        <w:t>An assembled demonstration video is included in the repository and does not depend on those links:</w:t>
      </w:r>
    </w:p>
    <w:p>
      <w:r>
        <w:rPr>
          <w:b/>
        </w:rPr>
        <w:t>`evidence/P1_demo_cloud_and_hardware.mp4`</w:t>
      </w:r>
      <w:r>
        <w:t xml:space="preserve"> — 1280×720, 1 min 21 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From</w:t>
            </w:r>
          </w:p>
        </w:tc>
        <w:tc>
          <w:tcPr>
            <w:tcW w:type="dxa" w:w="2880"/>
          </w:tcPr>
          <w:p>
            <w:pPr>
              <w:spacing w:after="40"/>
            </w:pPr>
            <w:r>
              <w:rPr>
                <w:b/>
                <w:sz w:val="19"/>
              </w:rPr>
            </w:r>
            <w:r>
              <w:rPr>
                <w:b/>
                <w:sz w:val="19"/>
              </w:rPr>
              <w:t>Segment</w:t>
            </w:r>
          </w:p>
        </w:tc>
        <w:tc>
          <w:tcPr>
            <w:tcW w:type="dxa" w:w="2880"/>
          </w:tcPr>
          <w:p>
            <w:pPr>
              <w:spacing w:after="40"/>
            </w:pPr>
            <w:r>
              <w:rPr>
                <w:b/>
                <w:sz w:val="19"/>
              </w:rPr>
            </w:r>
            <w:r>
              <w:rPr>
                <w:b/>
                <w:sz w:val="19"/>
              </w:rPr>
              <w:t>Contents</w:t>
            </w:r>
          </w:p>
        </w:tc>
      </w:tr>
      <w:tr>
        <w:tc>
          <w:tcPr>
            <w:tcW w:type="dxa" w:w="2880"/>
          </w:tcPr>
          <w:p>
            <w:pPr>
              <w:spacing w:after="40"/>
            </w:pPr>
            <w:r>
              <w:rPr>
                <w:sz w:val="19"/>
              </w:rPr>
            </w:r>
            <w:r>
              <w:rPr>
                <w:sz w:val="19"/>
              </w:rPr>
              <w:t>0:00</w:t>
            </w:r>
          </w:p>
        </w:tc>
        <w:tc>
          <w:tcPr>
            <w:tcW w:type="dxa" w:w="2880"/>
          </w:tcPr>
          <w:p>
            <w:pPr>
              <w:spacing w:after="40"/>
            </w:pPr>
            <w:r>
              <w:rPr>
                <w:sz w:val="19"/>
              </w:rPr>
            </w:r>
            <w:r>
              <w:rPr>
                <w:sz w:val="19"/>
              </w:rPr>
              <w:t>Title</w:t>
            </w:r>
          </w:p>
        </w:tc>
        <w:tc>
          <w:tcPr>
            <w:tcW w:type="dxa" w:w="2880"/>
          </w:tcPr>
          <w:p>
            <w:pPr>
              <w:spacing w:after="40"/>
            </w:pPr>
            <w:r>
              <w:rPr>
                <w:sz w:val="19"/>
              </w:rPr>
            </w:r>
          </w:p>
        </w:tc>
      </w:tr>
      <w:tr>
        <w:tc>
          <w:tcPr>
            <w:tcW w:type="dxa" w:w="2880"/>
          </w:tcPr>
          <w:p>
            <w:pPr>
              <w:spacing w:after="40"/>
            </w:pPr>
            <w:r>
              <w:rPr>
                <w:sz w:val="19"/>
              </w:rPr>
            </w:r>
            <w:r>
              <w:rPr>
                <w:sz w:val="19"/>
              </w:rPr>
              <w:t>0:05</w:t>
            </w:r>
          </w:p>
        </w:tc>
        <w:tc>
          <w:tcPr>
            <w:tcW w:type="dxa" w:w="2880"/>
          </w:tcPr>
          <w:p>
            <w:pPr>
              <w:spacing w:after="40"/>
            </w:pPr>
            <w:r>
              <w:rPr>
                <w:sz w:val="19"/>
              </w:rPr>
            </w:r>
            <w:r>
              <w:rPr>
                <w:sz w:val="19"/>
              </w:rPr>
              <w:t>Hardware</w:t>
            </w:r>
          </w:p>
        </w:tc>
        <w:tc>
          <w:tcPr>
            <w:tcW w:type="dxa" w:w="2880"/>
          </w:tcPr>
          <w:p>
            <w:pPr>
              <w:spacing w:after="40"/>
            </w:pPr>
            <w:r>
              <w:rPr>
                <w:sz w:val="19"/>
              </w:rPr>
            </w:r>
            <w:r>
              <w:rPr>
                <w:sz w:val="19"/>
              </w:rPr>
              <w:t>Both boards on the bench, each separately powered, with no wire between them</w:t>
            </w:r>
          </w:p>
        </w:tc>
      </w:tr>
      <w:tr>
        <w:tc>
          <w:tcPr>
            <w:tcW w:type="dxa" w:w="2880"/>
          </w:tcPr>
          <w:p>
            <w:pPr>
              <w:spacing w:after="40"/>
            </w:pPr>
            <w:r>
              <w:rPr>
                <w:sz w:val="19"/>
              </w:rPr>
            </w:r>
            <w:r>
              <w:rPr>
                <w:sz w:val="19"/>
              </w:rPr>
              <w:t>0:20</w:t>
            </w:r>
          </w:p>
        </w:tc>
        <w:tc>
          <w:tcPr>
            <w:tcW w:type="dxa" w:w="2880"/>
          </w:tcPr>
          <w:p>
            <w:pPr>
              <w:spacing w:after="40"/>
            </w:pPr>
            <w:r>
              <w:rPr>
                <w:sz w:val="19"/>
              </w:rPr>
            </w:r>
            <w:r>
              <w:rPr>
                <w:sz w:val="19"/>
              </w:rPr>
              <w:t>Cloud</w:t>
            </w:r>
          </w:p>
        </w:tc>
        <w:tc>
          <w:tcPr>
            <w:tcW w:type="dxa" w:w="2880"/>
          </w:tcPr>
          <w:p>
            <w:pPr>
              <w:spacing w:after="40"/>
            </w:pPr>
            <w:r>
              <w:rPr>
                <w:sz w:val="19"/>
              </w:rPr>
            </w:r>
            <w:r>
              <w:rPr>
                <w:sz w:val="19"/>
              </w:rPr>
              <w:t>Gateway online, node communication age counting in milliseconds</w:t>
            </w:r>
          </w:p>
        </w:tc>
      </w:tr>
      <w:tr>
        <w:tc>
          <w:tcPr>
            <w:tcW w:type="dxa" w:w="2880"/>
          </w:tcPr>
          <w:p>
            <w:pPr>
              <w:spacing w:after="40"/>
            </w:pPr>
            <w:r>
              <w:rPr>
                <w:sz w:val="19"/>
              </w:rPr>
            </w:r>
            <w:r>
              <w:rPr>
                <w:sz w:val="19"/>
              </w:rPr>
              <w:t>0:24</w:t>
            </w:r>
          </w:p>
        </w:tc>
        <w:tc>
          <w:tcPr>
            <w:tcW w:type="dxa" w:w="2880"/>
          </w:tcPr>
          <w:p>
            <w:pPr>
              <w:spacing w:after="40"/>
            </w:pPr>
            <w:r>
              <w:rPr>
                <w:sz w:val="19"/>
              </w:rPr>
            </w:r>
            <w:r>
              <w:rPr>
                <w:sz w:val="19"/>
              </w:rPr>
              <w:t>Walkthrough</w:t>
            </w:r>
          </w:p>
        </w:tc>
        <w:tc>
          <w:tcPr>
            <w:tcW w:type="dxa" w:w="2880"/>
          </w:tcPr>
          <w:p>
            <w:pPr>
              <w:spacing w:after="40"/>
            </w:pPr>
            <w:r>
              <w:rPr>
                <w:sz w:val="19"/>
              </w:rPr>
            </w:r>
            <w:r>
              <w:rPr>
                <w:sz w:val="19"/>
              </w:rPr>
              <w:t xml:space="preserve">The RPC command sent and the device reporting the change back; the </w:t>
            </w:r>
            <w:r>
              <w:rPr>
                <w:rFonts w:ascii="Consolas" w:hAnsi="Consolas"/>
                <w:sz w:val="19"/>
              </w:rPr>
              <w:t>node1_*</w:t>
            </w:r>
            <w:r>
              <w:rPr>
                <w:sz w:val="19"/>
              </w:rPr>
              <w:t xml:space="preserve"> keys; both sensors on one chart</w:t>
            </w:r>
          </w:p>
        </w:tc>
      </w:tr>
      <w:tr>
        <w:tc>
          <w:tcPr>
            <w:tcW w:type="dxa" w:w="2880"/>
          </w:tcPr>
          <w:p>
            <w:pPr>
              <w:spacing w:after="40"/>
            </w:pPr>
            <w:r>
              <w:rPr>
                <w:sz w:val="19"/>
              </w:rPr>
            </w:r>
            <w:r>
              <w:rPr>
                <w:sz w:val="19"/>
              </w:rPr>
              <w:t>1:01</w:t>
            </w:r>
          </w:p>
        </w:tc>
        <w:tc>
          <w:tcPr>
            <w:tcW w:type="dxa" w:w="2880"/>
          </w:tcPr>
          <w:p>
            <w:pPr>
              <w:spacing w:after="40"/>
            </w:pPr>
            <w:r>
              <w:rPr>
                <w:sz w:val="19"/>
              </w:rPr>
            </w:r>
            <w:r>
              <w:rPr>
                <w:sz w:val="19"/>
              </w:rPr>
              <w:t>Round trip</w:t>
            </w:r>
          </w:p>
        </w:tc>
        <w:tc>
          <w:tcPr>
            <w:tcW w:type="dxa" w:w="2880"/>
          </w:tcPr>
          <w:p>
            <w:pPr>
              <w:spacing w:after="40"/>
            </w:pPr>
            <w:r>
              <w:rPr>
                <w:sz w:val="19"/>
              </w:rPr>
            </w:r>
            <w:r>
              <w:rPr>
                <w:rFonts w:ascii="Consolas" w:hAnsi="Consolas"/>
                <w:sz w:val="19"/>
              </w:rPr>
              <w:t>publish_interval_ms</w:t>
            </w:r>
            <w:r>
              <w:rPr>
                <w:sz w:val="19"/>
              </w:rPr>
              <w:t xml:space="preserve"> and </w:t>
            </w:r>
            <w:r>
              <w:rPr>
                <w:rFonts w:ascii="Consolas" w:hAnsi="Consolas"/>
                <w:sz w:val="19"/>
              </w:rPr>
              <w:t>rpc_handled</w:t>
            </w:r>
            <w:r>
              <w:rPr>
                <w:sz w:val="19"/>
              </w:rPr>
              <w:t xml:space="preserve"> after the command</w:t>
            </w:r>
          </w:p>
        </w:tc>
      </w:tr>
      <w:tr>
        <w:tc>
          <w:tcPr>
            <w:tcW w:type="dxa" w:w="2880"/>
          </w:tcPr>
          <w:p>
            <w:pPr>
              <w:spacing w:after="40"/>
            </w:pPr>
            <w:r>
              <w:rPr>
                <w:sz w:val="19"/>
              </w:rPr>
            </w:r>
            <w:r>
              <w:rPr>
                <w:sz w:val="19"/>
              </w:rPr>
              <w:t>1:16</w:t>
            </w:r>
          </w:p>
        </w:tc>
        <w:tc>
          <w:tcPr>
            <w:tcW w:type="dxa" w:w="2880"/>
          </w:tcPr>
          <w:p>
            <w:pPr>
              <w:spacing w:after="40"/>
            </w:pPr>
            <w:r>
              <w:rPr>
                <w:sz w:val="19"/>
              </w:rPr>
            </w:r>
            <w:r>
              <w:rPr>
                <w:sz w:val="19"/>
              </w:rPr>
              <w:t>Close</w:t>
            </w:r>
          </w:p>
        </w:tc>
        <w:tc>
          <w:tcPr>
            <w:tcW w:type="dxa" w:w="2880"/>
          </w:tcPr>
          <w:p>
            <w:pPr>
              <w:spacing w:after="40"/>
            </w:pPr>
            <w:r>
              <w:rPr>
                <w:sz w:val="19"/>
              </w:rPr>
            </w:r>
          </w:p>
        </w:tc>
      </w:tr>
    </w:tbl>
    <w:p/>
    <w:p>
      <w:r>
        <w:t xml:space="preserve">Subtitles are burned into the frames. The two source screen captures are also kept separately as </w:t>
      </w:r>
      <w:r>
        <w:rPr>
          <w:rFonts w:ascii="Consolas" w:hAnsi="Consolas"/>
          <w:sz w:val="19"/>
        </w:rPr>
        <w:t>evidence/video_02_thingsboard_walkthrough.gif</w:t>
      </w:r>
      <w:r>
        <w:t xml:space="preserve"> and </w:t>
      </w:r>
      <w:r>
        <w:rPr>
          <w:rFonts w:ascii="Consolas" w:hAnsi="Consolas"/>
          <w:sz w:val="19"/>
        </w:rPr>
        <w:t>evidence/video_01_thingsboard_rpc_demo.gif</w:t>
      </w:r>
      <w:r>
        <w:t>.</w:t>
      </w:r>
    </w:p>
    <w:p>
      <w:r>
        <w:t xml:space="preserve">What the assembled video does </w:t>
      </w:r>
      <w:r>
        <w:rPr>
          <w:b/>
        </w:rPr>
        <w:t>not</w:t>
      </w:r>
      <w:r>
        <w:t xml:space="preserve"> contain is the physical interventions: warming the sensor by hand, and disconnecting and restoring Board 1. Those produce the results reported in §8.5 and §8.6 and are filmed separately. </w:t>
      </w:r>
      <w:r>
        <w:rPr>
          <w:rFonts w:ascii="Consolas" w:hAnsi="Consolas"/>
          <w:sz w:val="19"/>
        </w:rPr>
        <w:t>VOICEOVER_SCRIPT.md</w:t>
      </w:r>
      <w:r>
        <w:t xml:space="preserve"> carries the narration script timed against the segments above.</w:t>
      </w:r>
    </w:p>
    <w:p>
      <w:r>
        <w:rPr>
          <w:rFonts w:ascii="Consolas" w:hAnsi="Consolas"/>
          <w:sz w:val="19"/>
        </w:rPr>
        <w:t>DEMO_PLAN.md</w:t>
      </w:r>
      <w:r>
        <w:t xml:space="preserve"> in the repository carries the runsheet these recordings follow, including the pre-flight checks and the intended order of the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