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[course code] </w:t>
      </w:r>
      <w:r>
        <w:rPr>
          <w:b/>
        </w:rPr>
        <w:t>Authors:</w:t>
      </w:r>
      <w:r>
        <w:t xml:space="preserve"> [Member A], [Member B] </w:t>
      </w:r>
      <w:r>
        <w:rPr>
          <w:b/>
        </w:rPr>
        <w:t>Date:</w:t>
      </w:r>
      <w:r>
        <w:t xml:space="preserve"> 3 August 2026</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1" name="Picture 1"/>
            <wp:cNvGraphicFramePr>
              <a:graphicFrameLocks noChangeAspect="1"/>
            </wp:cNvGraphicFramePr>
            <a:graphic>
              <a:graphicData uri="http://schemas.openxmlformats.org/drawingml/2006/picture">
                <pic:pic>
                  <pic:nvPicPr>
                    <pic:cNvPr id="0" name="photo_01_both_boards_no_wire.jpeg"/>
                    <pic:cNvPicPr/>
                  </pic:nvPicPr>
                  <pic:blipFill>
                    <a:blip r:embed="rId9"/>
                    <a:stretch>
                      <a:fillRect/>
                    </a:stretch>
                  </pic:blipFill>
                  <pic:spPr>
                    <a:xfrm>
                      <a:off x="0" y="0"/>
                      <a:ext cx="3291840" cy="4389483"/>
                    </a:xfrm>
                    <a:prstGeom prst="rect"/>
                  </pic:spPr>
                </pic:pic>
              </a:graphicData>
            </a:graphic>
          </wp:inline>
        </w:drawing>
      </w:r>
    </w:p>
    <w:p>
      <w:pPr>
        <w:spacing w:after="280"/>
        <w:jc w:val="center"/>
      </w:pPr>
      <w:r>
        <w:rPr>
          <w:b/>
          <w:sz w:val="19"/>
        </w:rPr>
        <w:t>Figure 1</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2_wiring_detail_dht11.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3_board_on_breadboard.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7.7 Memory footprint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w:t>
            </w:r>
          </w:p>
        </w:tc>
        <w:tc>
          <w:tcPr>
            <w:tcW w:type="dxa" w:w="2880"/>
          </w:tcPr>
          <w:p>
            <w:pPr>
              <w:spacing w:after="40"/>
            </w:pPr>
            <w:r>
              <w:rPr>
                <w:b/>
                <w:sz w:val="19"/>
              </w:rPr>
            </w:r>
            <w:r>
              <w:rPr>
                <w:b/>
                <w:sz w:val="19"/>
              </w:rPr>
              <w:t>% of 1.31 MB</w:t>
            </w:r>
          </w:p>
        </w:tc>
      </w:tr>
      <w:tr>
        <w:tc>
          <w:tcPr>
            <w:tcW w:type="dxa" w:w="2880"/>
          </w:tcPr>
          <w:p>
            <w:pPr>
              <w:spacing w:after="40"/>
            </w:pPr>
            <w:r>
              <w:rPr>
                <w:sz w:val="19"/>
              </w:rPr>
            </w:r>
            <w:r>
              <w:rPr>
                <w:rFonts w:ascii="Consolas" w:hAnsi="Consolas"/>
                <w:sz w:val="19"/>
              </w:rPr>
              <w:t>01</w:t>
            </w:r>
            <w:r>
              <w:rPr>
                <w:sz w:val="19"/>
              </w:rPr>
              <w:t>/</w:t>
            </w:r>
            <w:r>
              <w:rPr>
                <w:rFonts w:ascii="Consolas" w:hAnsi="Consolas"/>
                <w:sz w:val="19"/>
              </w:rPr>
              <w:t>02</w:t>
            </w:r>
            <w:r>
              <w:rPr>
                <w:sz w:val="19"/>
              </w:rPr>
              <w:t xml:space="preserve"> — DHT test only</w:t>
            </w:r>
          </w:p>
        </w:tc>
        <w:tc>
          <w:tcPr>
            <w:tcW w:type="dxa" w:w="2880"/>
          </w:tcPr>
          <w:p>
            <w:pPr>
              <w:spacing w:after="40"/>
            </w:pPr>
            <w:r>
              <w:rPr>
                <w:sz w:val="19"/>
              </w:rPr>
            </w:r>
            <w:r>
              <w:rPr>
                <w:sz w:val="19"/>
              </w:rPr>
              <w:t>284 KB</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 KB</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 KB</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WPA2-Personal</w:t>
            </w:r>
          </w:p>
        </w:tc>
        <w:tc>
          <w:tcPr>
            <w:tcW w:type="dxa" w:w="2880"/>
          </w:tcPr>
          <w:p>
            <w:pPr>
              <w:spacing w:after="40"/>
            </w:pPr>
            <w:r>
              <w:rPr>
                <w:sz w:val="19"/>
              </w:rPr>
            </w:r>
            <w:r>
              <w:rPr>
                <w:sz w:val="19"/>
              </w:rPr>
              <w:t>915 KB</w:t>
            </w:r>
          </w:p>
        </w:tc>
        <w:tc>
          <w:tcPr>
            <w:tcW w:type="dxa" w:w="2880"/>
          </w:tcPr>
          <w:p>
            <w:pPr>
              <w:spacing w:after="40"/>
            </w:pPr>
            <w:r>
              <w:rPr>
                <w:sz w:val="19"/>
              </w:rPr>
            </w:r>
            <w:r>
              <w:rPr>
                <w:sz w:val="19"/>
              </w:rPr>
              <w:t>69%</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 KB</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w:t>
      </w:r>
    </w:p>
    <w:p>
      <w:pPr>
        <w:pStyle w:val="Heading3"/>
      </w:pPr>
      <w:r>
        <w:t>7.8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7.8.1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7.8.2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Sender address filtering.</w:t>
      </w:r>
      <w:r>
        <w:t xml:space="preserve"> The gateway compares the source MAC reported by the radio driver against Board 1's known address, and discards non-matching frames before examining their contents. This closes an attack that the design otherwise permits, described next.</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7.8.3 The sender-authentication problem</w:t>
      </w:r>
    </w:p>
    <w:p>
      <w:r>
        <w:t>This is worth setting out in full, because it is the most instructive weakness in the design.</w:t>
      </w:r>
    </w:p>
    <w:p>
      <w:r>
        <w:t xml:space="preserve">The gateway deliberately registers no ESP-NOW peers and uses no encryption, because that is what allows it to accept frames without a prior handshake. The consequence is that the </w:t>
      </w:r>
      <w:r>
        <w:rPr>
          <w:rFonts w:ascii="Consolas" w:hAnsi="Consolas"/>
          <w:sz w:val="19"/>
        </w:rPr>
        <w:t>src_id</w:t>
      </w:r>
      <w:r>
        <w:t xml:space="preserve"> field inside the packet is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t>The mitigation implemented is a source MAC check in the receive callback. This raises the required effort — an attacker must now discover and spoof Board 1's MAC rather than simply transmit — but it does not solve the problem, because 802.11 source addresses are trivially forgeable by anyone able to inject frames in the first place. It is a speed bump, and the report describes it as one.</w:t>
      </w:r>
    </w:p>
    <w:p>
      <w:r>
        <w:t xml:space="preserve">The actual fix is ESP-NOW's built-in encryption: a Primary Master Key and per-peer Local Master Keys, with </w:t>
      </w:r>
      <w:r>
        <w:rPr>
          <w:rFonts w:ascii="Consolas" w:hAnsi="Consolas"/>
          <w:sz w:val="19"/>
        </w:rPr>
        <w:t>esp_now_peer_info_t::encrypt</w:t>
      </w:r>
      <w:r>
        <w:t xml:space="preserve"> set true. That provides both confidentiality and sender authentication at the link layer, at the cost of requiring peers to be registered in advance and limiting the gateway to 20 encrypted peers. For a two-node system that cost is negligible, and a production build would take it.</w:t>
      </w:r>
    </w:p>
    <w:p>
      <w:pPr>
        <w:pStyle w:val="Heading4"/>
      </w:pPr>
      <w:r>
        <w:t>7.8.4 What is not defended, and why</w:t>
      </w:r>
    </w:p>
    <w:p>
      <w:r>
        <w:rPr>
          <w:b/>
        </w:rPr>
        <w:t>ESP-NOW payloads are unencrypted.</w:t>
      </w:r>
      <w:r>
        <w:t xml:space="preserve"> Anyone in radio range can read the temperature and humidity readings. For this data the confidentiality impact is near zero, but the honest framing is that the choice was made for debuggability during development rather than because the data was judged unimportant.</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(§7.6),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7.8.5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(mitigation, not authentication)</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ESP-NOW sender authentication (PMK/LMK)</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system is appropriate for a classroom demonstration on a trusted bench. It is not suitable for deployment, and the four unimplemented controls above are the specific work that would be required to change that.</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Exactly half of all received packets were rejected, across 164 transmissions. With the flag disabled, the duplicate counter froze while the received counter continued climbing — confirming the logic discriminates rather than rejecting indiscriminately.</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Cloud dashboard</w:t>
      </w:r>
    </w:p>
    <w:p>
      <w:pPr>
        <w:jc w:val="center"/>
      </w:pPr>
      <w:r>
        <w:drawing>
          <wp:inline xmlns:a="http://schemas.openxmlformats.org/drawingml/2006/main" xmlns:pic="http://schemas.openxmlformats.org/drawingml/2006/picture">
            <wp:extent cx="5486400" cy="3606614"/>
            <wp:docPr id="4" name="Picture 4"/>
            <wp:cNvGraphicFramePr>
              <a:graphicFrameLocks noChangeAspect="1"/>
            </wp:cNvGraphicFramePr>
            <a:graphic>
              <a:graphicData uri="http://schemas.openxmlformats.org/drawingml/2006/picture">
                <pic:pic>
                  <pic:nvPicPr>
                    <pic:cNvPr id="0" name="dashboard_01_temperature_both_boards.jpg"/>
                    <pic:cNvPicPr/>
                  </pic:nvPicPr>
                  <pic:blipFill>
                    <a:blip r:embed="rId12"/>
                    <a:stretch>
                      <a:fillRect/>
                    </a:stretch>
                  </pic:blipFill>
                  <pic:spPr>
                    <a:xfrm>
                      <a:off x="0" y="0"/>
                      <a:ext cx="5486400" cy="3606614"/>
                    </a:xfrm>
                    <a:prstGeom prst="rect"/>
                  </pic:spPr>
                </pic:pic>
              </a:graphicData>
            </a:graphic>
          </wp:inline>
        </w:drawing>
      </w:r>
    </w:p>
    <w:p>
      <w:pPr>
        <w:spacing w:after="280"/>
        <w:jc w:val="center"/>
      </w:pPr>
      <w:r>
        <w:rPr>
          <w:b/>
          <w:sz w:val="19"/>
        </w:rPr>
        <w:t>Figure 4</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2_humidity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3_latest_telemetry_10_key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4_device_state_active.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The device registered as </w:t>
      </w:r>
      <w:r>
        <w:rPr>
          <w:b/>
          <w:sz w:val="19"/>
        </w:rPr>
        <w:t>Active</w:t>
      </w:r>
      <w:r>
        <w:rPr>
          <w:sz w:val="19"/>
        </w:rPr>
        <w:t>. ThingsBoard sets this state only on a live connection, so the badge is independent confirmation of cloud connectivity.</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§7.8. In short: ESP-NOW payloads are unencrypted and senders are not cryptographically authenticated, MQTT runs without TLS so the access token crosses the network in clear text, RADIUS certificates are not validated, and credentials are compiled into flash. The system is suitable for a supervised bench demonstration and not for deployment.</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Manual channel configuration.</w:t>
      </w:r>
      <w:r>
        <w:t xml:space="preserve"> If the gateway roams to an access point on a different channel, the ESP-NOW link silently stops working while Wi-Fi and MQTT remain healthy. The gateway detects and warns about this, but recovery requires manually editing and re-uploading Board 1's firmware. On the institutional network used for testing, access points were visible on channels 1, 6 and 11, making this a realistic failure mode rather than a theoretical one.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Encrypted ESP-NOW</w:t>
      </w:r>
      <w:r>
        <w:t xml:space="preserve"> and </w:t>
      </w:r>
      <w:r>
        <w:rPr>
          <w:b/>
        </w:rPr>
        <w:t>TLS MQTT on port 8883</w:t>
      </w:r>
      <w:r>
        <w:t>, closing the two plaintext paths.</w:t>
      </w:r>
    </w:p>
    <w:p>
      <w:pPr>
        <w:pStyle w:val="ListNumber"/>
      </w:pPr>
      <w:r>
        <w:rPr>
          <w:b/>
        </w:rPr>
        <w:t>Credentials in NVS</w:t>
      </w:r>
      <w:r>
        <w:t>, provisioned at first boot rather than compiled in.</w:t>
      </w:r>
    </w:p>
    <w:p>
      <w:pPr>
        <w:pStyle w:val="ListNumber"/>
      </w:pPr>
      <w:r>
        <w:rPr>
          <w:b/>
        </w:rPr>
        <w:t>Automatic channel recovery</w:t>
      </w:r>
      <w:r>
        <w:t xml:space="preserve"> — the gateway could publish its current channel, and nodes could scan for the gateway rather than being hard-coded to one channel.</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