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2"/>
          <w:szCs w:val="32"/>
        </w:rPr>
        <w:t xml:space="preserve">Integrating Generative AI into an Academic Paper Submission System</w:t>
      </w:r>
    </w:p>
    <w:p>
      <w:pPr>
        <w:spacing w:after="240" w:before="0"/>
        <w:jc w:val="center"/>
      </w:pPr>
      <w:r>
        <w:rPr>
          <w:rFonts w:ascii="Arial" w:cs="Arial" w:eastAsia="Arial" w:hAnsi="Arial"/>
          <w:i/>
          <w:iCs/>
          <w:color w:val="555555"/>
          <w:sz w:val="24"/>
          <w:szCs w:val="24"/>
        </w:rPr>
        <w:t xml:space="preserve">Assessment 1 — Critical Analysis &amp; Revised Project Scope</w:t>
      </w:r>
    </w:p>
    <w:p>
      <w:pPr>
        <w:spacing w:after="360"/>
        <w:jc w:val="center"/>
      </w:pPr>
      <w:r>
        <w:rPr>
          <w:rFonts w:ascii="Arial" w:cs="Arial" w:eastAsia="Arial" w:hAnsi="Arial"/>
          <w:sz w:val="22"/>
          <w:szCs w:val="22"/>
        </w:rPr>
        <w:t xml:space="preserve">Bhanu Gupta</w:t>
      </w:r>
      <w:r>
        <w:rPr>
          <w:rFonts w:ascii="Arial" w:cs="Arial" w:eastAsia="Arial" w:hAnsi="Arial"/>
          <w:color w:val="888888"/>
          <w:sz w:val="22"/>
          <w:szCs w:val="22"/>
        </w:rPr>
        <w:t xml:space="preserve">   |   </w:t>
      </w:r>
      <w:r>
        <w:rPr>
          <w:rFonts w:ascii="Arial" w:cs="Arial" w:eastAsia="Arial" w:hAnsi="Arial"/>
          <w:sz w:val="22"/>
          <w:szCs w:val="22"/>
        </w:rPr>
        <w:t xml:space="preserve">Generative AI in Practice</w:t>
      </w:r>
      <w:r>
        <w:rPr>
          <w:rFonts w:ascii="Arial" w:cs="Arial" w:eastAsia="Arial" w:hAnsi="Arial"/>
          <w:color w:val="888888"/>
          <w:sz w:val="22"/>
          <w:szCs w:val="22"/>
        </w:rPr>
        <w:t xml:space="preserve">   |   </w:t>
      </w:r>
      <w:r>
        <w:rPr>
          <w:rFonts w:ascii="Arial" w:cs="Arial" w:eastAsia="Arial" w:hAnsi="Arial"/>
          <w:sz w:val="22"/>
          <w:szCs w:val="22"/>
        </w:rPr>
        <w:t xml:space="preserve">May 2026</w:t>
      </w:r>
    </w:p>
    <w:p>
      <w:pPr>
        <w:pStyle w:val="Heading1"/>
        <w:spacing w:after="160" w:before="320"/>
      </w:pPr>
      <w:r>
        <w:rPr>
          <w:rFonts w:ascii="Arial" w:cs="Arial" w:eastAsia="Arial" w:hAnsi="Arial"/>
          <w:b/>
          <w:bCs/>
          <w:sz w:val="28"/>
          <w:szCs w:val="28"/>
        </w:rPr>
        <w:t xml:space="preserve">1. Introduction and Original Project</w:t>
      </w:r>
    </w:p>
    <w:p>
      <w:pPr>
        <w:spacing w:after="120" w:before="120" w:line="300"/>
        <w:jc w:val="both"/>
      </w:pPr>
      <w:r>
        <w:rPr>
          <w:rFonts w:ascii="Arial" w:cs="Arial" w:eastAsia="Arial" w:hAnsi="Arial"/>
          <w:sz w:val="22"/>
          <w:szCs w:val="22"/>
        </w:rPr>
        <w:t xml:space="preserve">The project selected for revision is the </w:t>
      </w:r>
      <w:r>
        <w:rPr>
          <w:rFonts w:ascii="Arial" w:cs="Arial" w:eastAsia="Arial" w:hAnsi="Arial"/>
          <w:b/>
          <w:bCs/>
          <w:sz w:val="22"/>
          <w:szCs w:val="22"/>
        </w:rPr>
        <w:t xml:space="preserve">Paper Submission System</w:t>
      </w:r>
      <w:r>
        <w:rPr>
          <w:rFonts w:ascii="Arial" w:cs="Arial" w:eastAsia="Arial" w:hAnsi="Arial"/>
          <w:sz w:val="22"/>
          <w:szCs w:val="22"/>
        </w:rPr>
        <w:t xml:space="preserve"> I built in a previous course on full-stack web development. It is a Node.js application using Express, EJS server-side templates, and SQLite, with three roles: </w:t>
      </w:r>
      <w:r>
        <w:rPr>
          <w:rFonts w:ascii="Arial" w:cs="Arial" w:eastAsia="Arial" w:hAnsi="Arial"/>
          <w:b/>
          <w:bCs/>
          <w:sz w:val="22"/>
          <w:szCs w:val="22"/>
        </w:rPr>
        <w:t xml:space="preserve">author</w:t>
      </w:r>
      <w:r>
        <w:rPr>
          <w:rFonts w:ascii="Arial" w:cs="Arial" w:eastAsia="Arial" w:hAnsi="Arial"/>
          <w:sz w:val="22"/>
          <w:szCs w:val="22"/>
        </w:rPr>
        <w:t xml:space="preserve"> (submits manuscripts), </w:t>
      </w:r>
      <w:r>
        <w:rPr>
          <w:rFonts w:ascii="Arial" w:cs="Arial" w:eastAsia="Arial" w:hAnsi="Arial"/>
          <w:b/>
          <w:bCs/>
          <w:sz w:val="22"/>
          <w:szCs w:val="22"/>
        </w:rPr>
        <w:t xml:space="preserve">reviewer</w:t>
      </w:r>
      <w:r>
        <w:rPr>
          <w:rFonts w:ascii="Arial" w:cs="Arial" w:eastAsia="Arial" w:hAnsi="Arial"/>
          <w:sz w:val="22"/>
          <w:szCs w:val="22"/>
        </w:rPr>
        <w:t xml:space="preserve"> (writes feedback), and </w:t>
      </w:r>
      <w:r>
        <w:rPr>
          <w:rFonts w:ascii="Arial" w:cs="Arial" w:eastAsia="Arial" w:hAnsi="Arial"/>
          <w:b/>
          <w:bCs/>
          <w:sz w:val="22"/>
          <w:szCs w:val="22"/>
        </w:rPr>
        <w:t xml:space="preserve">administrator</w:t>
      </w:r>
      <w:r>
        <w:rPr>
          <w:rFonts w:ascii="Arial" w:cs="Arial" w:eastAsia="Arial" w:hAnsi="Arial"/>
          <w:sz w:val="22"/>
          <w:szCs w:val="22"/>
        </w:rPr>
        <w:t xml:space="preserve"> (oversees submissions and exports records to Excel). Authors upload PDF or DOCX files, reviewers read assigned papers and provide free-text comments, and the admin sees the entire pipeline. Sessions and password hashing are implemented with express-session and bcrypt; file uploads are handled by multer.</w:t>
      </w:r>
    </w:p>
    <w:p>
      <w:pPr>
        <w:spacing w:after="120" w:before="120" w:line="300"/>
        <w:jc w:val="both"/>
      </w:pPr>
      <w:r>
        <w:rPr>
          <w:rFonts w:ascii="Arial" w:cs="Arial" w:eastAsia="Arial" w:hAnsi="Arial"/>
          <w:sz w:val="22"/>
          <w:szCs w:val="22"/>
        </w:rPr>
        <w:t xml:space="preserve">Although the system was functional, my retrospective audit revealed several limitations that would prevent its use in any real-world conference or journal context. Reviewers were assigned </w:t>
      </w:r>
      <w:r>
        <w:rPr>
          <w:rFonts w:ascii="Arial" w:cs="Arial" w:eastAsia="Arial" w:hAnsi="Arial"/>
          <w:b/>
          <w:bCs/>
          <w:sz w:val="22"/>
          <w:szCs w:val="22"/>
        </w:rPr>
        <w:t xml:space="preserve">uniformly at random</w:t>
      </w:r>
      <w:r>
        <w:rPr>
          <w:rFonts w:ascii="Arial" w:cs="Arial" w:eastAsia="Arial" w:hAnsi="Arial"/>
          <w:sz w:val="22"/>
          <w:szCs w:val="22"/>
        </w:rPr>
        <w:t xml:space="preserve">, ignoring their expertise; reviews were unstructured free text, making aggregation and comparison difficult; the system performed no integrity checks (no plagiarism scan, no duplicate-submission detection); and authors received no feedback before submitting. The work was, in short, a faithful but minimal CRUD application. The aim of this revision is to use Generative AI not as decoration but as the connective tissue that turns the system from a digital filing cabinet into a genuinely intelligent peer-review platform.</w:t>
      </w:r>
    </w:p>
    <w:p>
      <w:pPr>
        <w:pStyle w:val="Heading1"/>
        <w:spacing w:after="160" w:before="320"/>
      </w:pPr>
      <w:r>
        <w:rPr>
          <w:rFonts w:ascii="Arial" w:cs="Arial" w:eastAsia="Arial" w:hAnsi="Arial"/>
          <w:b/>
          <w:bCs/>
          <w:sz w:val="28"/>
          <w:szCs w:val="28"/>
        </w:rPr>
        <w:t xml:space="preserve">2. Revised Scope and Objectives</w:t>
      </w:r>
    </w:p>
    <w:p>
      <w:pPr>
        <w:spacing w:after="120" w:before="120" w:line="300"/>
        <w:jc w:val="both"/>
      </w:pPr>
      <w:r>
        <w:rPr>
          <w:rFonts w:ascii="Arial" w:cs="Arial" w:eastAsia="Arial" w:hAnsi="Arial"/>
          <w:sz w:val="22"/>
          <w:szCs w:val="22"/>
        </w:rPr>
        <w:t xml:space="preserve">The revised scope keeps the original three roles and the SQLite + Express stack — both deliberate choices for portability and reproducibility — but reorganises the codebase into a clean Model-View-Controller layout and introduces four AI-powered capabilities, each addressing a concrete weakness identified in the audit:</w:t>
      </w:r>
    </w:p>
    <w:p>
      <w:pPr>
        <w:pStyle w:val="ListParagraph"/>
        <w:numPr>
          <w:ilvl w:val="0"/>
          <w:numId w:val="2"/>
        </w:numPr>
        <w:spacing w:after="60" w:before="60" w:line="280"/>
      </w:pPr>
      <w:r>
        <w:rPr>
          <w:rFonts w:ascii="Arial" w:cs="Arial" w:eastAsia="Arial" w:hAnsi="Arial"/>
          <w:sz w:val="22"/>
          <w:szCs w:val="22"/>
        </w:rPr>
        <w:t xml:space="preserve">AI Reviewer Assistant — generates a structured first-pass review (summary, strengths, weaknesses, novelty/clarity/significance scores, recommendation) from a paper’s title and abstract, which the reviewer then edits and submits.</w:t>
      </w:r>
    </w:p>
    <w:p>
      <w:pPr>
        <w:pStyle w:val="ListParagraph"/>
        <w:numPr>
          <w:ilvl w:val="0"/>
          <w:numId w:val="2"/>
        </w:numPr>
        <w:spacing w:after="60" w:before="60" w:line="280"/>
      </w:pPr>
      <w:r>
        <w:rPr>
          <w:rFonts w:ascii="Arial" w:cs="Arial" w:eastAsia="Arial" w:hAnsi="Arial"/>
          <w:sz w:val="22"/>
          <w:szCs w:val="22"/>
        </w:rPr>
        <w:t xml:space="preserve">Smart Reviewer Matching — uses TF-IDF cosine similarity over reviewer expertise tags to recommend the best-matched reviewers for each new submission, replacing the original random allocation.</w:t>
      </w:r>
    </w:p>
    <w:p>
      <w:pPr>
        <w:pStyle w:val="ListParagraph"/>
        <w:numPr>
          <w:ilvl w:val="0"/>
          <w:numId w:val="2"/>
        </w:numPr>
        <w:spacing w:after="60" w:before="60" w:line="280"/>
      </w:pPr>
      <w:r>
        <w:rPr>
          <w:rFonts w:ascii="Arial" w:cs="Arial" w:eastAsia="Arial" w:hAnsi="Arial"/>
          <w:sz w:val="22"/>
          <w:szCs w:val="22"/>
        </w:rPr>
        <w:t xml:space="preserve">Plagiarism and AI-text Flag — scores each submission against the existing corpus and produces a transparent stylometric estimate of how AI-generated the abstract appears.</w:t>
      </w:r>
    </w:p>
    <w:p>
      <w:pPr>
        <w:pStyle w:val="ListParagraph"/>
        <w:numPr>
          <w:ilvl w:val="0"/>
          <w:numId w:val="2"/>
        </w:numPr>
        <w:spacing w:after="60" w:before="60" w:line="280"/>
      </w:pPr>
      <w:r>
        <w:rPr>
          <w:rFonts w:ascii="Arial" w:cs="Arial" w:eastAsia="Arial" w:hAnsi="Arial"/>
          <w:sz w:val="22"/>
          <w:szCs w:val="22"/>
        </w:rPr>
        <w:t xml:space="preserve">Author Writing Assistant — polishes the abstract, suggests alternative titles, and extracts indexing keywords on demand.</w:t>
      </w:r>
    </w:p>
    <w:p>
      <w:pPr>
        <w:spacing w:after="120" w:before="120" w:line="300"/>
        <w:jc w:val="both"/>
      </w:pPr>
      <w:r>
        <w:rPr>
          <w:rFonts w:ascii="Arial" w:cs="Arial" w:eastAsia="Arial" w:hAnsi="Arial"/>
          <w:sz w:val="22"/>
          <w:szCs w:val="22"/>
        </w:rPr>
        <w:t xml:space="preserve">The revised objectives are therefore: (a) preserve the existing functionality; (b) add the four AI features behind a provider-agnostic abstraction so they can run on a local heuristic backend by default and Anthropic’s Claude API when a key is supplied; (c) harden the application with structured logging, helmet-based security headers, rate-limited authentication, an SQLite session store, and Docker packaging; and (d) make every AI interaction auditable through a dedicated database table.</w:t>
      </w:r>
    </w:p>
    <w:p>
      <w:pPr>
        <w:pStyle w:val="Heading1"/>
        <w:spacing w:after="160" w:before="320"/>
      </w:pPr>
      <w:r>
        <w:rPr>
          <w:rFonts w:ascii="Arial" w:cs="Arial" w:eastAsia="Arial" w:hAnsi="Arial"/>
          <w:b/>
          <w:bCs/>
          <w:sz w:val="28"/>
          <w:szCs w:val="28"/>
        </w:rPr>
        <w:t xml:space="preserve">3. Generative AI: Capabilities Relevant to the Project</w:t>
      </w:r>
    </w:p>
    <w:p>
      <w:pPr>
        <w:spacing w:after="120" w:before="120" w:line="300"/>
        <w:jc w:val="both"/>
      </w:pPr>
      <w:r>
        <w:rPr>
          <w:rFonts w:ascii="Arial" w:cs="Arial" w:eastAsia="Arial" w:hAnsi="Arial"/>
          <w:sz w:val="22"/>
          <w:szCs w:val="22"/>
        </w:rPr>
        <w:t xml:space="preserve">Generative AI as a field has matured from a research curiosity into a deployable engineering substrate. Three families of capability are directly relevant to the revised system. </w:t>
      </w:r>
      <w:r>
        <w:rPr>
          <w:rFonts w:ascii="Arial" w:cs="Arial" w:eastAsia="Arial" w:hAnsi="Arial"/>
          <w:b/>
          <w:bCs/>
          <w:sz w:val="22"/>
          <w:szCs w:val="22"/>
        </w:rPr>
        <w:t xml:space="preserve">Large language models</w:t>
      </w:r>
      <w:r>
        <w:rPr>
          <w:rFonts w:ascii="Arial" w:cs="Arial" w:eastAsia="Arial" w:hAnsi="Arial"/>
          <w:sz w:val="22"/>
          <w:szCs w:val="22"/>
        </w:rPr>
        <w:t xml:space="preserve"> (LLMs) such as Anthropic’s Claude, OpenAI’s GPT-4, and Google’s Gemini can read an abstract and emit a structured review that resembles human peer-review prose; constrained-output techniques (JSON schemas, function-calling) make their responses programmatically reliable. </w:t>
      </w:r>
      <w:r>
        <w:rPr>
          <w:rFonts w:ascii="Arial" w:cs="Arial" w:eastAsia="Arial" w:hAnsi="Arial"/>
          <w:b/>
          <w:bCs/>
          <w:sz w:val="22"/>
          <w:szCs w:val="22"/>
        </w:rPr>
        <w:t xml:space="preserve">Embedding models</w:t>
      </w:r>
      <w:r>
        <w:rPr>
          <w:rFonts w:ascii="Arial" w:cs="Arial" w:eastAsia="Arial" w:hAnsi="Arial"/>
          <w:sz w:val="22"/>
          <w:szCs w:val="22"/>
        </w:rPr>
        <w:t xml:space="preserve"> map text to dense vectors so semantic similarity becomes a numeric distance — exactly what is needed to match papers to reviewers or to flag near-duplicate submissions. </w:t>
      </w:r>
      <w:r>
        <w:rPr>
          <w:rFonts w:ascii="Arial" w:cs="Arial" w:eastAsia="Arial" w:hAnsi="Arial"/>
          <w:b/>
          <w:bCs/>
          <w:sz w:val="22"/>
          <w:szCs w:val="22"/>
        </w:rPr>
        <w:t xml:space="preserve">Multimodal models</w:t>
      </w:r>
      <w:r>
        <w:rPr>
          <w:rFonts w:ascii="Arial" w:cs="Arial" w:eastAsia="Arial" w:hAnsi="Arial"/>
          <w:sz w:val="22"/>
          <w:szCs w:val="22"/>
        </w:rPr>
        <w:t xml:space="preserve"> extend these capabilities to figures, tables, and equations, which is relevant for richer manuscript analysis in future iterations.</w:t>
      </w:r>
    </w:p>
    <w:p>
      <w:pPr>
        <w:spacing w:after="120" w:before="120" w:line="300"/>
        <w:jc w:val="both"/>
      </w:pPr>
      <w:r>
        <w:rPr>
          <w:rFonts w:ascii="Arial" w:cs="Arial" w:eastAsia="Arial" w:hAnsi="Arial"/>
          <w:sz w:val="22"/>
          <w:szCs w:val="22"/>
        </w:rPr>
        <w:t xml:space="preserve">For this project the key insight is that the four planned features fall into two technical categories. </w:t>
      </w:r>
      <w:r>
        <w:rPr>
          <w:rFonts w:ascii="Arial" w:cs="Arial" w:eastAsia="Arial" w:hAnsi="Arial"/>
          <w:b/>
          <w:bCs/>
          <w:sz w:val="22"/>
          <w:szCs w:val="22"/>
        </w:rPr>
        <w:t xml:space="preserve">Generative tasks</w:t>
      </w:r>
      <w:r>
        <w:rPr>
          <w:rFonts w:ascii="Arial" w:cs="Arial" w:eastAsia="Arial" w:hAnsi="Arial"/>
          <w:sz w:val="22"/>
          <w:szCs w:val="22"/>
        </w:rPr>
        <w:t xml:space="preserve"> (drafting reviews, polishing abstracts, suggesting titles) genuinely require a language model and benefit from a frontier model such as Claude when one is available. </w:t>
      </w:r>
      <w:r>
        <w:rPr>
          <w:rFonts w:ascii="Arial" w:cs="Arial" w:eastAsia="Arial" w:hAnsi="Arial"/>
          <w:b/>
          <w:bCs/>
          <w:sz w:val="22"/>
          <w:szCs w:val="22"/>
        </w:rPr>
        <w:t xml:space="preserve">Retrieval and matching tasks</w:t>
      </w:r>
      <w:r>
        <w:rPr>
          <w:rFonts w:ascii="Arial" w:cs="Arial" w:eastAsia="Arial" w:hAnsi="Arial"/>
          <w:sz w:val="22"/>
          <w:szCs w:val="22"/>
        </w:rPr>
        <w:t xml:space="preserve"> (reviewer matching, plagiarism similarity) do not — a classical TF-IDF vectoriser is sufficient at workshop-level corpus sizes and has the considerable virtue of being explainable, deterministic, and free. The architecture I have implemented separates these concerns cleanly: a single LLM service exposes draftReview, polishAbstract, suggestTitles, and extractKeywords methods, while a separate embeddings module handles similarity and matching.</w:t>
      </w:r>
    </w:p>
    <w:p>
      <w:pPr>
        <w:spacing w:after="120" w:before="120" w:line="300"/>
        <w:jc w:val="both"/>
      </w:pPr>
      <w:r>
        <w:rPr>
          <w:rFonts w:ascii="Arial" w:cs="Arial" w:eastAsia="Arial" w:hAnsi="Arial"/>
          <w:sz w:val="22"/>
          <w:szCs w:val="22"/>
        </w:rPr>
        <w:t xml:space="preserve">A second, important capability of contemporary GenAI tooling is </w:t>
      </w:r>
      <w:r>
        <w:rPr>
          <w:rFonts w:ascii="Arial" w:cs="Arial" w:eastAsia="Arial" w:hAnsi="Arial"/>
          <w:b/>
          <w:bCs/>
          <w:sz w:val="22"/>
          <w:szCs w:val="22"/>
        </w:rPr>
        <w:t xml:space="preserve">graceful degradation</w:t>
      </w:r>
      <w:r>
        <w:rPr>
          <w:rFonts w:ascii="Arial" w:cs="Arial" w:eastAsia="Arial" w:hAnsi="Arial"/>
          <w:sz w:val="22"/>
          <w:szCs w:val="22"/>
        </w:rPr>
        <w:t xml:space="preserve">. The same interface is implemented twice — by a heuristic backend (rule-based templates that mimic the LLM’s response shape) and by an Anthropic Claude backend that activates when an API key is set. The application defaults to the heuristic backend, so demonstrations and continuous-integration pipelines never incur API cost; switching to Claude is a one-line environment-variable change. This dual-backend pattern is increasingly common in industry as teams seek to balance capability, cost, latency, and offline operation, and it has the additional benefit of providing a clean evaluation harness: identical input flows through two implementations, making A/B comparisons trivial.</w:t>
      </w:r>
    </w:p>
    <w:p>
      <w:pPr>
        <w:pStyle w:val="Heading1"/>
        <w:spacing w:after="160" w:before="320"/>
      </w:pPr>
      <w:r>
        <w:rPr>
          <w:rFonts w:ascii="Arial" w:cs="Arial" w:eastAsia="Arial" w:hAnsi="Arial"/>
          <w:b/>
          <w:bCs/>
          <w:sz w:val="28"/>
          <w:szCs w:val="28"/>
        </w:rPr>
        <w:t xml:space="preserve">4. Ethical Considerations</w:t>
      </w:r>
    </w:p>
    <w:p>
      <w:pPr>
        <w:spacing w:after="120" w:before="120" w:line="300"/>
        <w:jc w:val="both"/>
      </w:pPr>
      <w:r>
        <w:rPr>
          <w:rFonts w:ascii="Arial" w:cs="Arial" w:eastAsia="Arial" w:hAnsi="Arial"/>
          <w:sz w:val="22"/>
          <w:szCs w:val="22"/>
        </w:rPr>
        <w:t xml:space="preserve">Integrating GenAI into peer review is ethically charged because peer review is a process of human judgement that affects careers and the trajectory of research. Four concerns shaped the design.</w:t>
      </w:r>
    </w:p>
    <w:p>
      <w:pPr>
        <w:spacing w:after="120" w:before="120" w:line="300"/>
        <w:jc w:val="both"/>
      </w:pPr>
      <w:r>
        <w:rPr>
          <w:rFonts w:ascii="Arial" w:cs="Arial" w:eastAsia="Arial" w:hAnsi="Arial"/>
          <w:b/>
          <w:bCs/>
          <w:sz w:val="22"/>
          <w:szCs w:val="22"/>
        </w:rPr>
        <w:t xml:space="preserve">Authorship and accountability. </w:t>
      </w:r>
      <w:r>
        <w:rPr>
          <w:rFonts w:ascii="Arial" w:cs="Arial" w:eastAsia="Arial" w:hAnsi="Arial"/>
          <w:sz w:val="22"/>
          <w:szCs w:val="22"/>
        </w:rPr>
        <w:t xml:space="preserve">A model that writes a review without human approval erodes the convention that reviewers are accountable for their words. The revised system therefore frames the AI as a </w:t>
      </w:r>
      <w:r>
        <w:rPr>
          <w:rFonts w:ascii="Arial" w:cs="Arial" w:eastAsia="Arial" w:hAnsi="Arial"/>
          <w:b/>
          <w:bCs/>
          <w:sz w:val="22"/>
          <w:szCs w:val="22"/>
        </w:rPr>
        <w:t xml:space="preserve">drafting assistant</w:t>
      </w:r>
      <w:r>
        <w:rPr>
          <w:rFonts w:ascii="Arial" w:cs="Arial" w:eastAsia="Arial" w:hAnsi="Arial"/>
          <w:sz w:val="22"/>
          <w:szCs w:val="22"/>
        </w:rPr>
        <w:t xml:space="preserve">, never a decision-maker: the reviewer must read, edit, and submit the review themselves, and a flag (ai_assisted) is recorded on the review record so that authors and editors know an AI was involved. The same principle applies to the writing assistant, which proposes a revised abstract that the author must explicitly accept.</w:t>
      </w:r>
    </w:p>
    <w:p>
      <w:pPr>
        <w:spacing w:after="120" w:before="120" w:line="300"/>
        <w:jc w:val="both"/>
      </w:pPr>
      <w:r>
        <w:rPr>
          <w:rFonts w:ascii="Arial" w:cs="Arial" w:eastAsia="Arial" w:hAnsi="Arial"/>
          <w:b/>
          <w:bCs/>
          <w:sz w:val="22"/>
          <w:szCs w:val="22"/>
        </w:rPr>
        <w:t xml:space="preserve">Bias and fairness. </w:t>
      </w:r>
      <w:r>
        <w:rPr>
          <w:rFonts w:ascii="Arial" w:cs="Arial" w:eastAsia="Arial" w:hAnsi="Arial"/>
          <w:sz w:val="22"/>
          <w:szCs w:val="22"/>
        </w:rPr>
        <w:t xml:space="preserve">LLMs and embedding models inherit biases from their training data; a review draft may unconsciously favour writing styles common in English-language, well-resourced research traditions. Reviewer matching that depends on expertise tags can also propagate gaps — an under-represented sub-field with few tagged reviewers will be systematically mismatched. The system mitigates this by treating AI suggestions as advisory, by allowing the administrator to override matches, and by exposing the similarity score so that low-confidence matches are visible. A longer-term mitigation, noted in the project roadmap, is to audit model outputs on a held-out set of papers stratified by author demographics.</w:t>
      </w:r>
    </w:p>
    <w:p>
      <w:pPr>
        <w:spacing w:after="120" w:before="120" w:line="300"/>
        <w:jc w:val="both"/>
      </w:pPr>
      <w:r>
        <w:rPr>
          <w:rFonts w:ascii="Arial" w:cs="Arial" w:eastAsia="Arial" w:hAnsi="Arial"/>
          <w:b/>
          <w:bCs/>
          <w:sz w:val="22"/>
          <w:szCs w:val="22"/>
        </w:rPr>
        <w:t xml:space="preserve">Privacy and data minimisation. </w:t>
      </w:r>
      <w:r>
        <w:rPr>
          <w:rFonts w:ascii="Arial" w:cs="Arial" w:eastAsia="Arial" w:hAnsi="Arial"/>
          <w:sz w:val="22"/>
          <w:szCs w:val="22"/>
        </w:rPr>
        <w:t xml:space="preserve">Sending an abstract to a third-party LLM means leaving the trust boundary of the application. The implementation therefore (i) defaults to the local heuristic backend, (ii) sends only the title and abstract — never the full manuscript or any personally identifiable reviewer data — when the Claude backend is enabled, and (iii) logs every external call to the ai_audit table for retrospective review. Authors should be informed at submission time, and a future revision will add an explicit consent checkbox before any third-party call is made.</w:t>
      </w:r>
    </w:p>
    <w:p>
      <w:pPr>
        <w:spacing w:after="120" w:before="120" w:line="300"/>
        <w:jc w:val="both"/>
      </w:pPr>
      <w:r>
        <w:rPr>
          <w:rFonts w:ascii="Arial" w:cs="Arial" w:eastAsia="Arial" w:hAnsi="Arial"/>
          <w:b/>
          <w:bCs/>
          <w:sz w:val="22"/>
          <w:szCs w:val="22"/>
        </w:rPr>
        <w:t xml:space="preserve">Detecting AI-generated text. </w:t>
      </w:r>
      <w:r>
        <w:rPr>
          <w:rFonts w:ascii="Arial" w:cs="Arial" w:eastAsia="Arial" w:hAnsi="Arial"/>
          <w:sz w:val="22"/>
          <w:szCs w:val="22"/>
        </w:rPr>
        <w:t xml:space="preserve">The "AI-text likelihood" feature is the most ethically delicate. Empirical research has shown that even purpose-built classifiers misclassify human writing as AI, especially writing by non-native English speakers. The system therefore avoids any verdict-style language, presents the score as a flag for human review with the contributing sub-signals exposed (sentence-length uniformity, hedging ratio, common LLM phrases), and never blocks a submission based on the score. Plagiarism similarity is treated the same way: a high score triggers human investigation; it does not stand on its own.</w:t>
      </w:r>
    </w:p>
    <w:p>
      <w:pPr>
        <w:pStyle w:val="Heading1"/>
        <w:spacing w:after="160" w:before="320"/>
      </w:pPr>
      <w:r>
        <w:rPr>
          <w:rFonts w:ascii="Arial" w:cs="Arial" w:eastAsia="Arial" w:hAnsi="Arial"/>
          <w:b/>
          <w:bCs/>
          <w:sz w:val="28"/>
          <w:szCs w:val="28"/>
        </w:rPr>
        <w:t xml:space="preserve">5. Reflection and Roadmap to Assessment 2</w:t>
      </w:r>
    </w:p>
    <w:p>
      <w:pPr>
        <w:spacing w:after="120" w:before="120" w:line="300"/>
        <w:jc w:val="both"/>
      </w:pPr>
      <w:r>
        <w:rPr>
          <w:rFonts w:ascii="Arial" w:cs="Arial" w:eastAsia="Arial" w:hAnsi="Arial"/>
          <w:sz w:val="22"/>
          <w:szCs w:val="22"/>
        </w:rPr>
        <w:t xml:space="preserve">Revisiting an earlier project through the lens of Generative AI clarified for me how easily AI can be bolted onto an existing application — and how easily that bolt-on can become superficial. The architectural choices that took the most effort are not the ones a casual observer would notice: the provider-agnostic LLM interface, the audit table, the decision to keep retrieval and generation in separate modules, and the deliberate framing of AI outputs as drafts rather than decisions. These design moves are what allow the same codebase to run cost-free for a course demonstration today, and to scale to a real conference deployment tomorrow with a one-line configuration change. The principle I want to carry forward is that GenAI integration is, fundamentally, an exercise in interface design: the question is not "what can the model do?" but "where in the workflow does the model belong, and how do we keep the human in the loop?"</w:t>
      </w:r>
    </w:p>
    <w:p>
      <w:pPr>
        <w:spacing w:after="120" w:before="120" w:line="300"/>
        <w:jc w:val="both"/>
      </w:pPr>
      <w:r>
        <w:rPr>
          <w:rFonts w:ascii="Arial" w:cs="Arial" w:eastAsia="Arial" w:hAnsi="Arial"/>
          <w:sz w:val="22"/>
          <w:szCs w:val="22"/>
        </w:rPr>
        <w:t xml:space="preserve">A second realisation is that retrofitting a project also exposed engineering debt that was easy to ignore the first time around. The original codebase mixed schema definitions across two files, leaked database internals into route handlers, and assumed a single happy path. The act of carving out clean services for the AI features forced a corresponding cleanup of the surrounding code: promise-wrapped database access, role-based access middleware, structured error handling, and unit tests against the service modules. In other words, the AI features were the catalyst for a broader engineering improvement, which is a useful pattern to recognise when introducing AI into any legacy system.</w:t>
      </w:r>
    </w:p>
    <w:p>
      <w:pPr>
        <w:spacing w:after="120" w:before="120" w:line="300"/>
        <w:jc w:val="both"/>
      </w:pPr>
      <w:r>
        <w:rPr>
          <w:rFonts w:ascii="Arial" w:cs="Arial" w:eastAsia="Arial" w:hAnsi="Arial"/>
          <w:sz w:val="22"/>
          <w:szCs w:val="22"/>
        </w:rPr>
        <w:t xml:space="preserve">In Assessment 2 I plan to extend the prototype in three directions. First, I will replace the TF-IDF matcher with a dense-embedding model (sentence-transformers running locally via @xenova/transformers) and benchmark the change in matching quality on a small annotated corpus. Second, I will add a conflict-of-interest detector that prevents reviewer assignment when paper authors and reviewers share institutional affiliations or recent co-authorship history. Third, I will conduct a small user study with peers to evaluate whether AI-drafted reviews change the structure or thoroughness of human reviews compared to a control group, with particular attention to whether reviewers who used the AI draft were more or less likely to surface novel weaknesses. The current implementation is the foundation on which those experiments will run, and the audit table will provide the data we need to evaluate them rigorously.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Bhanu Gupta — Assessment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2026-05-04T08:10:59.237Z</dcterms:created>
  <dcterms:modified xsi:type="dcterms:W3CDTF">2026-05-04T08:10:59.238Z</dcterms:modified>
</cp:coreProperties>
</file>

<file path=docProps/custom.xml><?xml version="1.0" encoding="utf-8"?>
<Properties xmlns="http://schemas.openxmlformats.org/officeDocument/2006/custom-properties" xmlns:vt="http://schemas.openxmlformats.org/officeDocument/2006/docPropsVTypes"/>
</file>