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0"/>
          <w:szCs w:val="30"/>
        </w:rPr>
        <w:t xml:space="preserve">Integrating Generative AI into an Academic Paper Submission System</w:t>
      </w:r>
    </w:p>
    <w:p>
      <w:pPr>
        <w:spacing w:after="200" w:before="0"/>
        <w:jc w:val="center"/>
      </w:pPr>
      <w:r>
        <w:rPr>
          <w:rFonts w:ascii="Arial" w:cs="Arial" w:eastAsia="Arial" w:hAnsi="Arial"/>
          <w:i/>
          <w:iCs/>
          <w:color w:val="555555"/>
          <w:sz w:val="22"/>
          <w:szCs w:val="22"/>
        </w:rPr>
        <w:t xml:space="preserve">Critical Analysis and Revised Project Scope</w:t>
      </w:r>
    </w:p>
    <w:p>
      <w:pPr>
        <w:spacing w:after="320"/>
        <w:jc w:val="center"/>
      </w:pPr>
      <w:r>
        <w:rPr>
          <w:rFonts w:ascii="Arial" w:cs="Arial" w:eastAsia="Arial" w:hAnsi="Arial"/>
          <w:b/>
          <w:bCs/>
          <w:sz w:val="22"/>
          <w:szCs w:val="22"/>
        </w:rPr>
        <w:t xml:space="preserve">Bhanu Gupta</w:t>
      </w:r>
      <w:r>
        <w:rPr>
          <w:rFonts w:ascii="Arial" w:cs="Arial" w:eastAsia="Arial" w:hAnsi="Arial"/>
          <w:color w:val="888888"/>
          <w:sz w:val="22"/>
          <w:szCs w:val="22"/>
        </w:rPr>
        <w:t xml:space="preserve">   |   </w:t>
      </w:r>
      <w:r>
        <w:rPr>
          <w:rFonts w:ascii="Arial" w:cs="Arial" w:eastAsia="Arial" w:hAnsi="Arial"/>
          <w:sz w:val="22"/>
          <w:szCs w:val="22"/>
        </w:rPr>
        <w:t xml:space="preserve">IA730151 Year Three Special Topic (GenAI)</w:t>
      </w:r>
      <w:r>
        <w:rPr>
          <w:rFonts w:ascii="Arial" w:cs="Arial" w:eastAsia="Arial" w:hAnsi="Arial"/>
          <w:color w:val="888888"/>
          <w:sz w:val="22"/>
          <w:szCs w:val="22"/>
        </w:rPr>
        <w:t xml:space="preserve">   |   </w:t>
      </w:r>
      <w:r>
        <w:rPr>
          <w:rFonts w:ascii="Arial" w:cs="Arial" w:eastAsia="Arial" w:hAnsi="Arial"/>
          <w:sz w:val="22"/>
          <w:szCs w:val="22"/>
        </w:rPr>
        <w:t xml:space="preserve">May 2026</w:t>
      </w:r>
    </w:p>
    <w:p>
      <w:pPr>
        <w:pStyle w:val="Heading1"/>
        <w:spacing w:after="140" w:before="300"/>
      </w:pPr>
      <w:r>
        <w:rPr>
          <w:rFonts w:ascii="Arial" w:cs="Arial" w:eastAsia="Arial" w:hAnsi="Arial"/>
          <w:b/>
          <w:bCs/>
          <w:sz w:val="26"/>
          <w:szCs w:val="26"/>
        </w:rPr>
        <w:t xml:space="preserve">1. Original Project Presentation</w:t>
      </w:r>
    </w:p>
    <w:p>
      <w:pPr>
        <w:spacing w:after="100" w:before="100" w:line="300"/>
        <w:jc w:val="both"/>
      </w:pPr>
      <w:r>
        <w:rPr>
          <w:rFonts w:ascii="Arial" w:cs="Arial" w:eastAsia="Arial" w:hAnsi="Arial"/>
          <w:sz w:val="22"/>
          <w:szCs w:val="22"/>
        </w:rPr>
        <w:t xml:space="preserve">The project selected for revision is the </w:t>
      </w:r>
      <w:r>
        <w:rPr>
          <w:rFonts w:ascii="Arial" w:cs="Arial" w:eastAsia="Arial" w:hAnsi="Arial"/>
          <w:b/>
          <w:bCs/>
          <w:sz w:val="22"/>
          <w:szCs w:val="22"/>
        </w:rPr>
        <w:t xml:space="preserve">Paper Submission System</w:t>
      </w:r>
      <w:r>
        <w:rPr>
          <w:rFonts w:ascii="Arial" w:cs="Arial" w:eastAsia="Arial" w:hAnsi="Arial"/>
          <w:sz w:val="22"/>
          <w:szCs w:val="22"/>
        </w:rPr>
        <w:t xml:space="preserve"> I developed in a prior course on full-stack web development. It is a Node.js application that uses Express, server-rendered EJS templates, a SQLite database, bcrypt for password hashing, express-session for session management, multer for file uploads, and ExcelJS for editorial reporting. The system supports five roles, author, reviewer, editor, administrator, and a public reader, and implements the complete submission-to-publication lifecycle. Authors upload manuscripts and abstracts; editors manually assign reviewers; reviewers leave free-text feedback with a decision dropdown; and the public reader page lists accepted articles. The objectives of the original brief were to demonstrate role-based access control, file-upload handling, structured workflow management, and an Excel export so an editor could report on submissions to an institutional administrator.</w:t>
      </w:r>
    </w:p>
    <w:p>
      <w:pPr>
        <w:spacing w:after="100" w:before="100" w:line="300"/>
        <w:jc w:val="both"/>
      </w:pPr>
      <w:r>
        <w:rPr>
          <w:rFonts w:ascii="Arial" w:cs="Arial" w:eastAsia="Arial" w:hAnsi="Arial"/>
          <w:sz w:val="22"/>
          <w:szCs w:val="22"/>
        </w:rPr>
        <w:t xml:space="preserve">The development methodology was iterative and exploratory: features were built one route at a time, tested manually in the browser, and submitted as a single repository. The deliverable was a functioning five-role website seeded with seven sample manuscripts and five sample reviews. Although functionally complete, a retrospective audit surfaced significant limitations. Reviewer assignment was implemented using </w:t>
      </w:r>
      <w:r>
        <w:rPr>
          <w:rFonts w:ascii="Consolas" w:cs="Consolas" w:eastAsia="Consolas" w:hAnsi="Consolas"/>
          <w:sz w:val="22"/>
          <w:szCs w:val="22"/>
        </w:rPr>
        <w:t xml:space="preserve">Math.random()</w:t>
      </w:r>
      <w:r>
        <w:rPr>
          <w:rFonts w:ascii="Arial" w:cs="Arial" w:eastAsia="Arial" w:hAnsi="Arial"/>
          <w:sz w:val="22"/>
          <w:szCs w:val="22"/>
        </w:rPr>
        <w:t xml:space="preserve">, which is inconsistent with real conference practice, where matching is driven by topical fit (Charlin &amp; Zemel, 2013). Reviews were collected through a single free-text textarea with no scoring fields, preventing meaningful aggregation. The system performed no integrity checks: no plagiarism scan, no duplicate-submission detection, no flagging of AI-generated text. Authors received no feedback before submission. The codebase itself contained hardcoded credentials, mixed session-shape conventions, and lacked automated tests, rendering it unsuitable for serious deployment.</w:t>
      </w:r>
    </w:p>
    <w:p>
      <w:pPr>
        <w:pStyle w:val="Heading1"/>
        <w:spacing w:after="140" w:before="300"/>
      </w:pPr>
      <w:r>
        <w:rPr>
          <w:rFonts w:ascii="Arial" w:cs="Arial" w:eastAsia="Arial" w:hAnsi="Arial"/>
          <w:b/>
          <w:bCs/>
          <w:sz w:val="26"/>
          <w:szCs w:val="26"/>
        </w:rPr>
        <w:t xml:space="preserve">2. Revised Scope and Business Questions</w:t>
      </w:r>
    </w:p>
    <w:p>
      <w:pPr>
        <w:spacing w:after="100" w:before="100" w:line="300"/>
        <w:jc w:val="both"/>
      </w:pPr>
      <w:r>
        <w:rPr>
          <w:rFonts w:ascii="Arial" w:cs="Arial" w:eastAsia="Arial" w:hAnsi="Arial"/>
          <w:sz w:val="22"/>
          <w:szCs w:val="22"/>
        </w:rPr>
        <w:t xml:space="preserve">The revised scope transforms the system from a passive upload tracker into a decision-support platform that augments every role while preserving human accountability. Five refined business questions guide the redesign:</w:t>
      </w:r>
    </w:p>
    <w:p>
      <w:pPr>
        <w:pStyle w:val="ListParagraph"/>
        <w:numPr>
          <w:ilvl w:val="0"/>
          <w:numId w:val="2"/>
        </w:numPr>
        <w:spacing w:after="60" w:before="60" w:line="290"/>
      </w:pPr>
      <w:r>
        <w:rPr>
          <w:rFonts w:ascii="Arial" w:cs="Arial" w:eastAsia="Arial" w:hAnsi="Arial"/>
          <w:sz w:val="22"/>
          <w:szCs w:val="22"/>
        </w:rPr>
        <w:t xml:space="preserve">Q1. How can authors receive useful feedback on their abstract before submitting, without engaging a paid copy editor?</w:t>
      </w:r>
    </w:p>
    <w:p>
      <w:pPr>
        <w:pStyle w:val="ListParagraph"/>
        <w:numPr>
          <w:ilvl w:val="0"/>
          <w:numId w:val="2"/>
        </w:numPr>
        <w:spacing w:after="60" w:before="60" w:line="290"/>
      </w:pPr>
      <w:r>
        <w:rPr>
          <w:rFonts w:ascii="Arial" w:cs="Arial" w:eastAsia="Arial" w:hAnsi="Arial"/>
          <w:sz w:val="22"/>
          <w:szCs w:val="22"/>
        </w:rPr>
        <w:t xml:space="preserve">Q2. How can each manuscript be matched to the most topically relevant reviewer, rather than assigned at random?</w:t>
      </w:r>
    </w:p>
    <w:p>
      <w:pPr>
        <w:pStyle w:val="ListParagraph"/>
        <w:numPr>
          <w:ilvl w:val="0"/>
          <w:numId w:val="2"/>
        </w:numPr>
        <w:spacing w:after="60" w:before="60" w:line="290"/>
      </w:pPr>
      <w:r>
        <w:rPr>
          <w:rFonts w:ascii="Arial" w:cs="Arial" w:eastAsia="Arial" w:hAnsi="Arial"/>
          <w:sz w:val="22"/>
          <w:szCs w:val="22"/>
        </w:rPr>
        <w:t xml:space="preserve">Q3. How can submissions be screened for near-duplicates and AI-generated text in a way that flags risk without falsely accusing authors?</w:t>
      </w:r>
    </w:p>
    <w:p>
      <w:pPr>
        <w:pStyle w:val="ListParagraph"/>
        <w:numPr>
          <w:ilvl w:val="0"/>
          <w:numId w:val="2"/>
        </w:numPr>
        <w:spacing w:after="60" w:before="60" w:line="290"/>
      </w:pPr>
      <w:r>
        <w:rPr>
          <w:rFonts w:ascii="Arial" w:cs="Arial" w:eastAsia="Arial" w:hAnsi="Arial"/>
          <w:sz w:val="22"/>
          <w:szCs w:val="22"/>
        </w:rPr>
        <w:t xml:space="preserve">Q4. How can peer reviews be made structured and comparable so that editors can aggregate them meaningfully?</w:t>
      </w:r>
    </w:p>
    <w:p>
      <w:pPr>
        <w:pStyle w:val="ListParagraph"/>
        <w:numPr>
          <w:ilvl w:val="0"/>
          <w:numId w:val="2"/>
        </w:numPr>
        <w:spacing w:after="60" w:before="60" w:line="290"/>
      </w:pPr>
      <w:r>
        <w:rPr>
          <w:rFonts w:ascii="Arial" w:cs="Arial" w:eastAsia="Arial" w:hAnsi="Arial"/>
          <w:sz w:val="22"/>
          <w:szCs w:val="22"/>
        </w:rPr>
        <w:t xml:space="preserve">Q5. How can the system operate at zero marginal cost today while leaving a clean upgrade path to a paid large language model (LLM) tomorrow?</w:t>
      </w:r>
    </w:p>
    <w:p>
      <w:pPr>
        <w:spacing w:after="100" w:before="100" w:line="300"/>
        <w:jc w:val="both"/>
      </w:pPr>
      <w:r>
        <w:rPr>
          <w:rFonts w:ascii="Arial" w:cs="Arial" w:eastAsia="Arial" w:hAnsi="Arial"/>
          <w:sz w:val="22"/>
          <w:szCs w:val="22"/>
        </w:rPr>
        <w:t xml:space="preserve">Each question maps to a single concrete feature in the revised system, and each feature uses the AI technique that best fits its retrieval-vs-generation profile. The questions are deliberately phrased as actionable design constraints rather than abstract goals, so that progress on each can be measured directly.</w:t>
      </w:r>
    </w:p>
    <w:p>
      <w:pPr>
        <w:pStyle w:val="Heading1"/>
        <w:spacing w:after="140" w:before="300"/>
      </w:pPr>
      <w:r>
        <w:rPr>
          <w:rFonts w:ascii="Arial" w:cs="Arial" w:eastAsia="Arial" w:hAnsi="Arial"/>
          <w:b/>
          <w:bCs/>
          <w:sz w:val="26"/>
          <w:szCs w:val="26"/>
        </w:rPr>
        <w:t xml:space="preserve">3. Generative AI Capabilities Relevant to the Project</w:t>
      </w:r>
    </w:p>
    <w:p>
      <w:pPr>
        <w:spacing w:after="100" w:before="100" w:line="300"/>
        <w:jc w:val="both"/>
      </w:pPr>
      <w:r>
        <w:rPr>
          <w:rFonts w:ascii="Arial" w:cs="Arial" w:eastAsia="Arial" w:hAnsi="Arial"/>
          <w:sz w:val="22"/>
          <w:szCs w:val="22"/>
        </w:rPr>
        <w:t xml:space="preserve">Generative AI now spans three families of capability that map directly onto the questions above (Bommasani et al., 2021). Large language models built on the transformer architecture (Vaswani et al., 2017) and trained at scale exhibit emergent few-shot reasoning that enables them to read an abstract and emit a structured first-pass review using JSON-schema-constrained prompting (Brown et al., 2020). Embedding models project text into a high-dimensional vector space in which semantic similarity corresponds to cosine distance (Reimers &amp; Gurevych, 2019), turning reviewer-paper matching and near-duplicate detection into numerically tractable problems. Retrieval-augmented generation combines both families, retrieving relevant context first and conditioning generation on it for groundedness, which reduces hallucination on knowledge-intensive tasks (Lewis et al., 2020).</w:t>
      </w:r>
    </w:p>
    <w:p>
      <w:pPr>
        <w:spacing w:after="100" w:before="100" w:line="300"/>
        <w:jc w:val="both"/>
      </w:pPr>
      <w:r>
        <w:rPr>
          <w:rFonts w:ascii="Arial" w:cs="Arial" w:eastAsia="Arial" w:hAnsi="Arial"/>
          <w:sz w:val="22"/>
          <w:szCs w:val="22"/>
        </w:rPr>
        <w:t xml:space="preserve">At the architectural level, the revised system deliberately separates </w:t>
      </w:r>
      <w:r>
        <w:rPr>
          <w:rFonts w:ascii="Arial" w:cs="Arial" w:eastAsia="Arial" w:hAnsi="Arial"/>
          <w:b/>
          <w:bCs/>
          <w:sz w:val="22"/>
          <w:szCs w:val="22"/>
        </w:rPr>
        <w:t xml:space="preserve">generation tasks</w:t>
      </w:r>
      <w:r>
        <w:rPr>
          <w:rFonts w:ascii="Arial" w:cs="Arial" w:eastAsia="Arial" w:hAnsi="Arial"/>
          <w:sz w:val="22"/>
          <w:szCs w:val="22"/>
        </w:rPr>
        <w:t xml:space="preserve"> (review drafting, abstract polishing, title suggestion, keyword extraction) from </w:t>
      </w:r>
      <w:r>
        <w:rPr>
          <w:rFonts w:ascii="Arial" w:cs="Arial" w:eastAsia="Arial" w:hAnsi="Arial"/>
          <w:b/>
          <w:bCs/>
          <w:sz w:val="22"/>
          <w:szCs w:val="22"/>
        </w:rPr>
        <w:t xml:space="preserve">retrieval tasks</w:t>
      </w:r>
      <w:r>
        <w:rPr>
          <w:rFonts w:ascii="Arial" w:cs="Arial" w:eastAsia="Arial" w:hAnsi="Arial"/>
          <w:sz w:val="22"/>
          <w:szCs w:val="22"/>
        </w:rPr>
        <w:t xml:space="preserve"> (reviewer matching, near-duplicate detection, stylometric AI-text screening). Generation tasks pass through a provider-agnostic LLM interface so that a frontier model such as Claude can be swapped in for the heuristic default with a single environment-variable change. Retrieval tasks are handled by a classical TF-IDF baseline (Salton &amp; Buckley, 1988) that can be transparently upgraded to a sentence-transformer (Reimers &amp; Gurevych, 2019) when the paper corpus grows beyond the size at which lexical methods remain sufficient. This separation keeps the system explainable while leaving an upgrade path on the table.</w:t>
      </w:r>
    </w:p>
    <w:p>
      <w:pPr>
        <w:pStyle w:val="Heading1"/>
        <w:spacing w:after="140" w:before="300"/>
      </w:pPr>
      <w:r>
        <w:rPr>
          <w:rFonts w:ascii="Arial" w:cs="Arial" w:eastAsia="Arial" w:hAnsi="Arial"/>
          <w:b/>
          <w:bCs/>
          <w:sz w:val="26"/>
          <w:szCs w:val="26"/>
        </w:rPr>
        <w:t xml:space="preserve">4. Tool Selection and Justification</w:t>
      </w:r>
    </w:p>
    <w:p>
      <w:pPr>
        <w:spacing w:after="100" w:before="100" w:line="300"/>
        <w:jc w:val="both"/>
      </w:pPr>
      <w:r>
        <w:rPr>
          <w:rFonts w:ascii="Arial" w:cs="Arial" w:eastAsia="Arial" w:hAnsi="Arial"/>
          <w:sz w:val="22"/>
          <w:szCs w:val="22"/>
        </w:rPr>
        <w:t xml:space="preserve">Three tools were selected to operate the GenAI features at runtime. Anthropic Claude (claude-sonnet-4-6) is used for generation tasks because it reliably follows JSON-schema-constrained prompts and produces fluent, fair-sounding prose; this matters in peer review where reviewer drafts must read like a human starting point rather than a hallucinated summary (Anthropic, 2025). TF-IDF embeddings implemented in pure JavaScript are used for similarity and matching at workshop scale, because at corpus sizes under approximately one thousand papers, classical bag-of-words retrieval is fast, deterministic, and most importantly </w:t>
      </w:r>
      <w:r>
        <w:rPr>
          <w:rFonts w:ascii="Arial" w:cs="Arial" w:eastAsia="Arial" w:hAnsi="Arial"/>
          <w:b/>
          <w:bCs/>
          <w:sz w:val="22"/>
          <w:szCs w:val="22"/>
        </w:rPr>
        <w:t xml:space="preserve">explainable</w:t>
      </w:r>
      <w:r>
        <w:rPr>
          <w:rFonts w:ascii="Arial" w:cs="Arial" w:eastAsia="Arial" w:hAnsi="Arial"/>
          <w:sz w:val="22"/>
          <w:szCs w:val="22"/>
        </w:rPr>
        <w:t xml:space="preserve"> (Salton &amp; Buckley, 1988); editors can be shown the specific terms that triggered a match. Sentence-transformers (Xenova/all-MiniLM-L6-v2) is scaffolded as the roadmap upgrade once the corpus outgrows lexical methods, because dense embeddings capture paraphrase and synonymy that TF-IDF cannot (Reimers &amp; Gurevych, 2019). Each tool carries acknowledged trade-offs that are documented in the user interface: Claude incurs API cost and sends abstracts outside the trust boundary; TF-IDF is purely lexical and treats synonyms as separate tokens; sentence-transformers requires a model download and additional memory.</w:t>
      </w:r>
    </w:p>
    <w:p>
      <w:pPr>
        <w:pStyle w:val="Heading1"/>
        <w:spacing w:after="140" w:before="300"/>
      </w:pPr>
      <w:r>
        <w:rPr>
          <w:rFonts w:ascii="Arial" w:cs="Arial" w:eastAsia="Arial" w:hAnsi="Arial"/>
          <w:b/>
          <w:bCs/>
          <w:sz w:val="26"/>
          <w:szCs w:val="26"/>
        </w:rPr>
        <w:t xml:space="preserve">5. Ethical Considerations</w:t>
      </w:r>
    </w:p>
    <w:p>
      <w:pPr>
        <w:spacing w:after="100" w:before="100" w:line="300"/>
        <w:jc w:val="both"/>
      </w:pPr>
      <w:r>
        <w:rPr>
          <w:rFonts w:ascii="Arial" w:cs="Arial" w:eastAsia="Arial" w:hAnsi="Arial"/>
          <w:b/>
          <w:bCs/>
          <w:sz w:val="22"/>
          <w:szCs w:val="22"/>
        </w:rPr>
        <w:t xml:space="preserve">Bias and fairness. </w:t>
      </w:r>
      <w:r>
        <w:rPr>
          <w:rFonts w:ascii="Arial" w:cs="Arial" w:eastAsia="Arial" w:hAnsi="Arial"/>
          <w:sz w:val="22"/>
          <w:szCs w:val="22"/>
        </w:rPr>
        <w:t xml:space="preserve">LLMs inherit biases from their training data, which can propagate into review prose, keyword choices, and recommendations (Bender et al., 2021; Weidinger et al., 2022). Any reviewer-matching system that depends on author-supplied expertise tags also inherits the under-representation of niche subfields. The revised system mitigates these risks by treating AI suggestions as advisory, allowing editor override, logging every AI assist for retrospective audit, and exposing match scores so that low-confidence matches are visible. A conflict-of-interest detector additionally screens out reviewers who are the submitting author, share an institutional affiliation, appear in the manuscript's authors list, or have a recorded co-authorship history.</w:t>
      </w:r>
    </w:p>
    <w:p>
      <w:pPr>
        <w:spacing w:after="100" w:before="100" w:line="300"/>
        <w:jc w:val="both"/>
      </w:pPr>
      <w:r>
        <w:rPr>
          <w:rFonts w:ascii="Arial" w:cs="Arial" w:eastAsia="Arial" w:hAnsi="Arial"/>
          <w:b/>
          <w:bCs/>
          <w:sz w:val="22"/>
          <w:szCs w:val="22"/>
        </w:rPr>
        <w:t xml:space="preserve">Privacy and data minimisation. </w:t>
      </w:r>
      <w:r>
        <w:rPr>
          <w:rFonts w:ascii="Arial" w:cs="Arial" w:eastAsia="Arial" w:hAnsi="Arial"/>
          <w:sz w:val="22"/>
          <w:szCs w:val="22"/>
        </w:rPr>
        <w:t xml:space="preserve">The default LLM provider is a heuristic backend that runs entirely on-device, so no abstract leaves the trust boundary unless the operator deliberately enables Claude. Even then, only the title and abstract are transmitted, never the full manuscript, reviewer identities, or institutional metadata. Every external call is logged in an audit table together with input and output token counts, supporting both compliance reporting and informed consent.</w:t>
      </w:r>
    </w:p>
    <w:p>
      <w:pPr>
        <w:spacing w:after="100" w:before="100" w:line="300"/>
        <w:jc w:val="both"/>
      </w:pPr>
      <w:r>
        <w:rPr>
          <w:rFonts w:ascii="Arial" w:cs="Arial" w:eastAsia="Arial" w:hAnsi="Arial"/>
          <w:b/>
          <w:bCs/>
          <w:sz w:val="22"/>
          <w:szCs w:val="22"/>
        </w:rPr>
        <w:t xml:space="preserve">Reliability and accountability. </w:t>
      </w:r>
      <w:r>
        <w:rPr>
          <w:rFonts w:ascii="Arial" w:cs="Arial" w:eastAsia="Arial" w:hAnsi="Arial"/>
          <w:sz w:val="22"/>
          <w:szCs w:val="22"/>
        </w:rPr>
        <w:t xml:space="preserve">The AI-text likelihood score is exposed as a flag, never a verdict, because purpose-built AI-text detectors systematically misclassify non-native English writing as machine-generated (Liang et al., 2023). The plagiarism similarity score is framed equivalently. Reviews drafted by AI never auto-submit: the reviewer must read, edit, and explicitly submit, and an ai_assisted flag is recorded on each review so authors and editors know when AI contributed. Following Mittelstadt (2019), ethics is treated as a set of concrete engineering choices rather than a checklist of abstract principles.</w:t>
      </w:r>
    </w:p>
    <w:p>
      <w:pPr>
        <w:pStyle w:val="Heading1"/>
        <w:spacing w:after="140" w:before="300"/>
      </w:pPr>
      <w:r>
        <w:rPr>
          <w:rFonts w:ascii="Arial" w:cs="Arial" w:eastAsia="Arial" w:hAnsi="Arial"/>
          <w:b/>
          <w:bCs/>
          <w:sz w:val="26"/>
          <w:szCs w:val="26"/>
        </w:rPr>
        <w:t xml:space="preserve">6. Reflection on Integration</w:t>
      </w:r>
    </w:p>
    <w:p>
      <w:pPr>
        <w:spacing w:after="100" w:before="100" w:line="300"/>
        <w:jc w:val="both"/>
      </w:pPr>
      <w:r>
        <w:rPr>
          <w:rFonts w:ascii="Arial" w:cs="Arial" w:eastAsia="Arial" w:hAnsi="Arial"/>
          <w:sz w:val="22"/>
          <w:szCs w:val="22"/>
        </w:rPr>
        <w:t xml:space="preserve">Revisiting the original project through the lens of Generative AI clarified that the architectural choices matter more than the model choice. The provider-agnostic LLM interface, the audit log, the deliberate separation of generation from retrieval, and the framing of AI outputs as drafts rather than decisions are the design moves that allow the same codebase to run cost-free for a demonstration today and to scale to a production deployment when budget permits. GenAI integration, in this view, is fundamentally an exercise in interface design: the relevant question is not "what can the model do?" but "where in the workflow does the model belong, and how is the human kept in the loop?"</w:t>
      </w:r>
    </w:p>
    <w:p>
      <w:pPr>
        <w:spacing w:after="100" w:before="100" w:line="300"/>
        <w:jc w:val="both"/>
      </w:pPr>
      <w:r>
        <w:rPr>
          <w:rFonts w:ascii="Arial" w:cs="Arial" w:eastAsia="Arial" w:hAnsi="Arial"/>
          <w:sz w:val="22"/>
          <w:szCs w:val="22"/>
        </w:rPr>
        <w:t xml:space="preserve">Retrofitting also exposed engineering debt, duplicate schema, hardcoded secrets, mixed session-shape conventions, that the discipline of carving out clean services for the AI features forced into the open and corrected. In the next phase of work, the prototype will be extended in three concrete directions: replacing TF-IDF with sentence-transformers and benchmarking matching precision on an annotated corpus; expanding the conflict-of-interest detector with institutional and co-authorship history; and running a small user study comparing reviewer thoroughness with and without AI draft assistance. The audit table already collects the data those experiments require.</w:t>
      </w:r>
    </w:p>
    <w:p>
      <w:pPr>
        <w:pStyle w:val="Heading1"/>
        <w:spacing w:after="140" w:before="300"/>
      </w:pPr>
      <w:r>
        <w:rPr>
          <w:rFonts w:ascii="Arial" w:cs="Arial" w:eastAsia="Arial" w:hAnsi="Arial"/>
          <w:b/>
          <w:bCs/>
          <w:sz w:val="26"/>
          <w:szCs w:val="26"/>
        </w:rPr>
        <w:t xml:space="preserve">References</w:t>
      </w:r>
    </w:p>
    <w:p>
      <w:pPr>
        <w:spacing w:after="80" w:before="80" w:line="280"/>
        <w:ind w:left="360" w:hanging="360"/>
        <w:jc w:val="left"/>
      </w:pPr>
      <w:r>
        <w:rPr>
          <w:rFonts w:ascii="Arial" w:cs="Arial" w:eastAsia="Arial" w:hAnsi="Arial"/>
          <w:sz w:val="21"/>
          <w:szCs w:val="21"/>
        </w:rPr>
        <w:t xml:space="preserve">Anthropic. (2025). Claude model documentation. https://docs.claude.com</w:t>
      </w:r>
    </w:p>
    <w:p>
      <w:pPr>
        <w:spacing w:after="80" w:before="80" w:line="280"/>
        <w:ind w:left="360" w:hanging="360"/>
        <w:jc w:val="left"/>
      </w:pPr>
      <w:r>
        <w:rPr>
          <w:rFonts w:ascii="Arial" w:cs="Arial" w:eastAsia="Arial" w:hAnsi="Arial"/>
          <w:sz w:val="21"/>
          <w:szCs w:val="21"/>
        </w:rPr>
        <w:t xml:space="preserve">Bender, E. M., Gebru, T., McMillan-Major, A., &amp; Shmitchell, S. (2021). On the dangers of stochastic parrots: Can language models be too big? In Proceedings of the 2021 ACM Conference on Fairness, Accountability, and Transparency (pp. 610-623). Association for Computing Machinery. https://doi.org/10.1145/3442188.3445922</w:t>
      </w:r>
    </w:p>
    <w:p>
      <w:pPr>
        <w:spacing w:after="80" w:before="80" w:line="280"/>
        <w:ind w:left="360" w:hanging="360"/>
        <w:jc w:val="left"/>
      </w:pPr>
      <w:r>
        <w:rPr>
          <w:rFonts w:ascii="Arial" w:cs="Arial" w:eastAsia="Arial" w:hAnsi="Arial"/>
          <w:sz w:val="21"/>
          <w:szCs w:val="21"/>
        </w:rPr>
        <w:t xml:space="preserve">Bommasani, R., Hudson, D. A., Adeli, E., Altman, R., Arora, S., von Arx, S., ... Liang, P. (2021). On the opportunities and risks of foundation models. arXiv. https://arxiv.org/abs/2108.07258</w:t>
      </w:r>
    </w:p>
    <w:p>
      <w:pPr>
        <w:spacing w:after="80" w:before="80" w:line="280"/>
        <w:ind w:left="360" w:hanging="360"/>
        <w:jc w:val="left"/>
      </w:pPr>
      <w:r>
        <w:rPr>
          <w:rFonts w:ascii="Arial" w:cs="Arial" w:eastAsia="Arial" w:hAnsi="Arial"/>
          <w:sz w:val="21"/>
          <w:szCs w:val="21"/>
        </w:rPr>
        <w:t xml:space="preserve">Brown, T. B., Mann, B., Ryder, N., Subbiah, M., Kaplan, J., Dhariwal, P., ... Amodei, D. (2020). Language models are few-shot learners. Advances in Neural Information Processing Systems, 33, 1877-1901.</w:t>
      </w:r>
    </w:p>
    <w:p>
      <w:pPr>
        <w:spacing w:after="80" w:before="80" w:line="280"/>
        <w:ind w:left="360" w:hanging="360"/>
        <w:jc w:val="left"/>
      </w:pPr>
      <w:r>
        <w:rPr>
          <w:rFonts w:ascii="Arial" w:cs="Arial" w:eastAsia="Arial" w:hAnsi="Arial"/>
          <w:sz w:val="21"/>
          <w:szCs w:val="21"/>
        </w:rPr>
        <w:t xml:space="preserve">Charlin, L., &amp; Zemel, R. (2013). The Toronto paper matching system: An automated paper-reviewer assignment system. In ICML Workshop on Peer Reviewing and Publishing Models.</w:t>
      </w:r>
    </w:p>
    <w:p>
      <w:pPr>
        <w:spacing w:after="80" w:before="80" w:line="280"/>
        <w:ind w:left="360" w:hanging="360"/>
        <w:jc w:val="left"/>
      </w:pPr>
      <w:r>
        <w:rPr>
          <w:rFonts w:ascii="Arial" w:cs="Arial" w:eastAsia="Arial" w:hAnsi="Arial"/>
          <w:sz w:val="21"/>
          <w:szCs w:val="21"/>
        </w:rPr>
        <w:t xml:space="preserve">Lewis, P., Perez, E., Piktus, A., Petroni, F., Karpukhin, V., Goyal, N., ... Kiela, D. (2020). Retrieval-augmented generation for knowledge-intensive NLP tasks. Advances in Neural Information Processing Systems, 33, 9459-9474.</w:t>
      </w:r>
    </w:p>
    <w:p>
      <w:pPr>
        <w:spacing w:after="80" w:before="80" w:line="280"/>
        <w:ind w:left="360" w:hanging="360"/>
        <w:jc w:val="left"/>
      </w:pPr>
      <w:r>
        <w:rPr>
          <w:rFonts w:ascii="Arial" w:cs="Arial" w:eastAsia="Arial" w:hAnsi="Arial"/>
          <w:sz w:val="21"/>
          <w:szCs w:val="21"/>
        </w:rPr>
        <w:t xml:space="preserve">Liang, W., Yuksekgonul, M., Mao, Y., Wu, E., &amp; Zou, J. (2023). GPT detectors are biased against non-native English writers. Patterns, 4(7), 100779. https://doi.org/10.1016/j.patter.2023.100779</w:t>
      </w:r>
    </w:p>
    <w:p>
      <w:pPr>
        <w:spacing w:after="80" w:before="80" w:line="280"/>
        <w:ind w:left="360" w:hanging="360"/>
        <w:jc w:val="left"/>
      </w:pPr>
      <w:r>
        <w:rPr>
          <w:rFonts w:ascii="Arial" w:cs="Arial" w:eastAsia="Arial" w:hAnsi="Arial"/>
          <w:sz w:val="21"/>
          <w:szCs w:val="21"/>
        </w:rPr>
        <w:t xml:space="preserve">Mittelstadt, B. D. (2019). Principles alone cannot guarantee ethical AI. Nature Machine Intelligence, 1(11), 501-507. https://doi.org/10.1038/s42256-019-0114-4</w:t>
      </w:r>
    </w:p>
    <w:p>
      <w:pPr>
        <w:spacing w:after="80" w:before="80" w:line="280"/>
        <w:ind w:left="360" w:hanging="360"/>
        <w:jc w:val="left"/>
      </w:pPr>
      <w:r>
        <w:rPr>
          <w:rFonts w:ascii="Arial" w:cs="Arial" w:eastAsia="Arial" w:hAnsi="Arial"/>
          <w:sz w:val="21"/>
          <w:szCs w:val="21"/>
        </w:rPr>
        <w:t xml:space="preserve">Reimers, N., &amp; Gurevych, I. (2019). Sentence-BERT: Sentence embeddings using Siamese BERT-networks. In Proceedings of the 2019 Conference on Empirical Methods in Natural Language Processing and the 9th International Joint Conference on Natural Language Processing (EMNLP-IJCNLP) (pp. 3982-3992).</w:t>
      </w:r>
    </w:p>
    <w:p>
      <w:pPr>
        <w:spacing w:after="80" w:before="80" w:line="280"/>
        <w:ind w:left="360" w:hanging="360"/>
        <w:jc w:val="left"/>
      </w:pPr>
      <w:r>
        <w:rPr>
          <w:rFonts w:ascii="Arial" w:cs="Arial" w:eastAsia="Arial" w:hAnsi="Arial"/>
          <w:sz w:val="21"/>
          <w:szCs w:val="21"/>
        </w:rPr>
        <w:t xml:space="preserve">Salton, G., &amp; Buckley, C. (1988). Term-weighting approaches in automatic text retrieval. Information Processing &amp; Management, 24(5), 513-523. https://doi.org/10.1016/0306-4573(88)90021-0</w:t>
      </w:r>
    </w:p>
    <w:p>
      <w:pPr>
        <w:spacing w:after="80" w:before="80" w:line="280"/>
        <w:ind w:left="360" w:hanging="360"/>
        <w:jc w:val="left"/>
      </w:pPr>
      <w:r>
        <w:rPr>
          <w:rFonts w:ascii="Arial" w:cs="Arial" w:eastAsia="Arial" w:hAnsi="Arial"/>
          <w:sz w:val="21"/>
          <w:szCs w:val="21"/>
        </w:rPr>
        <w:t xml:space="preserve">Vaswani, A., Shazeer, N., Parmar, N., Uszkoreit, J., Jones, L., Gomez, A. N., Kaiser, L., &amp; Polosukhin, I. (2017). Attention is all you need. Advances in Neural Information Processing Systems, 30.</w:t>
      </w:r>
    </w:p>
    <w:p>
      <w:pPr>
        <w:spacing w:after="80" w:before="80" w:line="280"/>
        <w:ind w:left="360" w:hanging="360"/>
        <w:jc w:val="left"/>
      </w:pPr>
      <w:r>
        <w:rPr>
          <w:rFonts w:ascii="Arial" w:cs="Arial" w:eastAsia="Arial" w:hAnsi="Arial"/>
          <w:sz w:val="21"/>
          <w:szCs w:val="21"/>
        </w:rPr>
        <w:t xml:space="preserve">Weidinger, L., Uesato, J., Rauh, M., Griffin, C., Huang, P. S., Mellor, J., ... Gabriel, I. (2022). Taxonomy of risks posed by language models. In Proceedings of the 2022 ACM Conference on Fairness, Accountability, and Transparency (pp. 214-229). https://doi.org/10.1145/3531146.3533088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Bhanu Gupta - GenAI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26"/>
      <w:szCs w:val="26"/>
    </w:rPr>
  </w:style>
  <w:style w:type="paragraph" w:styleId="Heading2">
    <w:name w:val="Heading 2"/>
    <w:basedOn w:val="Normal"/>
    <w:next w:val="Normal"/>
    <w:qFormat/>
    <w:pPr>
      <w:spacing w:after="110" w:before="22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2026-05-13T10:19:55.410Z</dcterms:created>
  <dcterms:modified xsi:type="dcterms:W3CDTF">2026-05-13T10:19:55.416Z</dcterms:modified>
</cp:coreProperties>
</file>

<file path=docProps/custom.xml><?xml version="1.0" encoding="utf-8"?>
<Properties xmlns="http://schemas.openxmlformats.org/officeDocument/2006/custom-properties" xmlns:vt="http://schemas.openxmlformats.org/officeDocument/2006/docPropsVTypes"/>
</file>