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Calibri" w:cs="Calibri" w:eastAsia="Calibri" w:hAnsi="Calibri"/>
          <w:b/>
          <w:bCs/>
          <w:color w:val="1E2761"/>
          <w:sz w:val="32"/>
          <w:szCs w:val="32"/>
        </w:rPr>
        <w:t xml:space="preserve">Integrating Generative AI into an Academic Paper Submission System</w:t>
      </w:r>
    </w:p>
    <w:p>
      <w:pPr>
        <w:spacing w:after="220" w:before="0"/>
        <w:jc w:val="center"/>
      </w:pPr>
      <w:r>
        <w:rPr>
          <w:rFonts w:ascii="Calibri" w:cs="Calibri" w:eastAsia="Calibri" w:hAnsi="Calibri"/>
          <w:i/>
          <w:iCs/>
          <w:color w:val="555555"/>
          <w:sz w:val="24"/>
          <w:szCs w:val="24"/>
        </w:rPr>
        <w:t xml:space="preserve">Critical Analysis and Revised Project Scope</w:t>
      </w:r>
    </w:p>
    <w:p>
      <w:pPr>
        <w:spacing w:after="320"/>
        <w:jc w:val="center"/>
      </w:pPr>
      <w:r>
        <w:rPr>
          <w:rFonts w:ascii="Calibri" w:cs="Calibri" w:eastAsia="Calibri" w:hAnsi="Calibri"/>
          <w:b/>
          <w:bCs/>
          <w:sz w:val="22"/>
          <w:szCs w:val="22"/>
        </w:rPr>
        <w:t xml:space="preserve">Bhanu Gupta</w:t>
      </w:r>
      <w:r>
        <w:rPr>
          <w:rFonts w:ascii="Calibri" w:cs="Calibri" w:eastAsia="Calibri" w:hAnsi="Calibri"/>
          <w:color w:val="888888"/>
          <w:sz w:val="22"/>
          <w:szCs w:val="22"/>
        </w:rPr>
        <w:t xml:space="preserve">  ·  </w:t>
      </w:r>
      <w:r>
        <w:rPr>
          <w:rFonts w:ascii="Calibri" w:cs="Calibri" w:eastAsia="Calibri" w:hAnsi="Calibri"/>
          <w:sz w:val="22"/>
          <w:szCs w:val="22"/>
        </w:rPr>
        <w:t xml:space="preserve">IA730151 Year Three Special Topic (GenAI)</w:t>
      </w:r>
      <w:r>
        <w:rPr>
          <w:rFonts w:ascii="Calibri" w:cs="Calibri" w:eastAsia="Calibri" w:hAnsi="Calibri"/>
          <w:color w:val="888888"/>
          <w:sz w:val="22"/>
          <w:szCs w:val="22"/>
        </w:rPr>
        <w:t xml:space="preserve">  ·  </w:t>
      </w:r>
      <w:r>
        <w:rPr>
          <w:rFonts w:ascii="Calibri" w:cs="Calibri" w:eastAsia="Calibri" w:hAnsi="Calibri"/>
          <w:sz w:val="22"/>
          <w:szCs w:val="22"/>
        </w:rPr>
        <w:t xml:space="preserve">May 2026</w:t>
      </w:r>
    </w:p>
    <w:p>
      <w:pPr>
        <w:pStyle w:val="Heading1"/>
        <w:spacing w:after="120" w:before="280"/>
      </w:pPr>
      <w:r>
        <w:rPr>
          <w:rFonts w:ascii="Calibri" w:cs="Calibri" w:eastAsia="Calibri" w:hAnsi="Calibri"/>
          <w:b/>
          <w:bCs/>
          <w:color w:val="1E2761"/>
          <w:sz w:val="28"/>
          <w:szCs w:val="28"/>
        </w:rPr>
        <w:t xml:space="preserve">1. Original Project Presentation</w:t>
      </w:r>
    </w:p>
    <w:p>
      <w:pPr>
        <w:pStyle w:val="Heading2"/>
        <w:spacing w:after="100" w:before="200"/>
      </w:pPr>
      <w:r>
        <w:rPr>
          <w:rFonts w:ascii="Calibri" w:cs="Calibri" w:eastAsia="Calibri" w:hAnsi="Calibri"/>
          <w:b/>
          <w:bCs/>
          <w:sz w:val="23"/>
          <w:szCs w:val="23"/>
        </w:rPr>
        <w:t xml:space="preserve">Context and Objectives</w:t>
      </w:r>
    </w:p>
    <w:p>
      <w:pPr>
        <w:spacing w:after="100" w:before="100" w:line="300"/>
        <w:jc w:val="both"/>
      </w:pPr>
      <w:r>
        <w:rPr>
          <w:rFonts w:ascii="Calibri" w:cs="Calibri" w:eastAsia="Calibri" w:hAnsi="Calibri"/>
          <w:sz w:val="22"/>
          <w:szCs w:val="22"/>
        </w:rPr>
        <w:t xml:space="preserve">The project I am revising is the Paper Submission System I built in a prior web-development course. It is a Node.js application using Express, EJS templates, SQLite, bcrypt, express-session, multer, and ExcelJS. The system supports five roles: author, reviewer, editor, administrator, and a public reader. It runs the full submission-to-publication flow. Authors upload manuscripts, editors manually assign reviewers, reviewers leave feedback, and the public reader page lists accepted articles.</w:t>
      </w:r>
    </w:p>
    <w:p>
      <w:pPr>
        <w:spacing w:after="100" w:before="100" w:line="300"/>
        <w:jc w:val="both"/>
      </w:pPr>
      <w:r>
        <w:rPr>
          <w:rFonts w:ascii="Calibri" w:cs="Calibri" w:eastAsia="Calibri" w:hAnsi="Calibri"/>
          <w:sz w:val="22"/>
          <w:szCs w:val="22"/>
        </w:rPr>
        <w:t xml:space="preserve">The original brief asked for role-based access control, file uploads, a structured workflow, and an Excel export. I delivered a working five-role site seeded with seven manuscripts and five reviews.</w:t>
      </w:r>
    </w:p>
    <w:p>
      <w:pPr>
        <w:pStyle w:val="Heading2"/>
        <w:spacing w:after="100" w:before="200"/>
      </w:pPr>
      <w:r>
        <w:rPr>
          <w:rFonts w:ascii="Calibri" w:cs="Calibri" w:eastAsia="Calibri" w:hAnsi="Calibri"/>
          <w:b/>
          <w:bCs/>
          <w:sz w:val="23"/>
          <w:szCs w:val="23"/>
        </w:rPr>
        <w:t xml:space="preserve">Methodology, Results, Challenges, and Gaps</w:t>
      </w:r>
    </w:p>
    <w:p>
      <w:pPr>
        <w:spacing w:after="100" w:before="100" w:line="300"/>
        <w:jc w:val="both"/>
      </w:pPr>
      <w:r>
        <w:rPr>
          <w:rFonts w:ascii="Calibri" w:cs="Calibri" w:eastAsia="Calibri" w:hAnsi="Calibri"/>
          <w:sz w:val="22"/>
          <w:szCs w:val="22"/>
        </w:rPr>
        <w:t xml:space="preserve">The methodology was iterative. Build a route, test it in the browser, commit, repeat. The result was functional but shallow. A retrospective audit surfaced six clear gaps.</w:t>
      </w:r>
    </w:p>
    <w:p>
      <w:pPr>
        <w:spacing w:after="90" w:before="220"/>
        <w:jc w:val="left"/>
      </w:pPr>
      <w:r>
        <w:rPr>
          <w:rFonts w:ascii="Calibri" w:cs="Calibri" w:eastAsia="Calibri" w:hAnsi="Calibri"/>
          <w:b/>
          <w:bCs/>
          <w:i/>
          <w:iCs/>
          <w:color w:val="1E2761"/>
          <w:sz w:val="20"/>
          <w:szCs w:val="20"/>
        </w:rPr>
        <w:t xml:space="preserve">Table 1. Identified gaps in the original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Identified gap</w:t>
            </w:r>
          </w:p>
        </w:tc>
        <w:tc>
          <w:tcPr>
            <w:tcW w:type="dxa" w:w="62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Why it matters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Broken login wiring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Sessions were misconfigured and the wrong field was used to look up the author. Some pages silently failed to load anything.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Random reviewer assignment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The system used </w:t>
            </w:r>
            <w:r>
              <w:rPr>
                <w:rFonts w:ascii="Consolas" w:cs="Consolas" w:eastAsia="Consolas" w:hAnsi="Consolas"/>
                <w:sz w:val="22"/>
                <w:szCs w:val="22"/>
              </w:rPr>
              <w:t xml:space="preserve">Math.random()</w:t>
            </w:r>
            <w:r>
              <w:rPr>
                <w:rFonts w:ascii="Calibri" w:cs="Calibri" w:eastAsia="Calibri" w:hAnsi="Calibri"/>
                <w:sz w:val="22"/>
                <w:szCs w:val="22"/>
              </w:rPr>
              <w:t xml:space="preserve">. Real conferences match reviewers by topical fit (Charlin &amp; Zemel, 2013), not chance.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No integrity checks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No plagiarism scan, no duplicate-submission detection, no AI-text flag. Serious venues expect all three.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Unstructured reviews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One free-text textarea per reviewer with no scoring fields. Editors had no way to aggregate or compare reviews meaningfully.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No author tooling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Authors submitted without spelling help, title suggestions, or any kind of pre-submission feedback.</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No tests or containerisation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Single file, hardcoded secrets, two leftover database files. The codebase would not survive a real code review.</w:t>
            </w:r>
          </w:p>
        </w:tc>
      </w:tr>
    </w:tbl>
    <w:p>
      <w:pPr>
        <w:pStyle w:val="Heading1"/>
        <w:spacing w:after="120" w:before="280"/>
      </w:pPr>
      <w:r>
        <w:rPr>
          <w:rFonts w:ascii="Calibri" w:cs="Calibri" w:eastAsia="Calibri" w:hAnsi="Calibri"/>
          <w:b/>
          <w:bCs/>
          <w:color w:val="1E2761"/>
          <w:sz w:val="28"/>
          <w:szCs w:val="28"/>
        </w:rPr>
        <w:t xml:space="preserve">2. Revised Scope and Business Questions</w:t>
      </w:r>
    </w:p>
    <w:p>
      <w:pPr>
        <w:spacing w:after="100" w:before="100" w:line="300"/>
        <w:jc w:val="both"/>
      </w:pPr>
      <w:r>
        <w:rPr>
          <w:rFonts w:ascii="Calibri" w:cs="Calibri" w:eastAsia="Calibri" w:hAnsi="Calibri"/>
          <w:sz w:val="22"/>
          <w:szCs w:val="22"/>
        </w:rPr>
        <w:t xml:space="preserve">The revised scope turns the system from a passive upload tracker into a decision-support platform. AI helps each role. Humans still decide.</w:t>
      </w:r>
    </w:p>
    <w:p>
      <w:pPr>
        <w:spacing w:after="100" w:before="100" w:line="300"/>
        <w:jc w:val="both"/>
      </w:pPr>
      <w:r>
        <w:rPr>
          <w:rFonts w:ascii="Calibri" w:cs="Calibri" w:eastAsia="Calibri" w:hAnsi="Calibri"/>
          <w:sz w:val="22"/>
          <w:szCs w:val="22"/>
        </w:rPr>
        <w:t xml:space="preserve">Five questions drive the redesign:</w:t>
      </w:r>
    </w:p>
    <w:p>
      <w:pPr>
        <w:pStyle w:val="ListParagraph"/>
        <w:numPr>
          <w:ilvl w:val="0"/>
          <w:numId w:val="2"/>
        </w:numPr>
        <w:spacing w:after="60" w:before="60" w:line="290"/>
      </w:pPr>
      <w:r>
        <w:rPr>
          <w:rFonts w:ascii="Calibri" w:cs="Calibri" w:eastAsia="Calibri" w:hAnsi="Calibri"/>
          <w:sz w:val="22"/>
          <w:szCs w:val="22"/>
        </w:rPr>
        <w:t xml:space="preserve">Q1. How can authors get useful feedback on their abstract before submitting, without paying a copy editor?</w:t>
      </w:r>
    </w:p>
    <w:p>
      <w:pPr>
        <w:pStyle w:val="ListParagraph"/>
        <w:numPr>
          <w:ilvl w:val="0"/>
          <w:numId w:val="2"/>
        </w:numPr>
        <w:spacing w:after="60" w:before="60" w:line="290"/>
      </w:pPr>
      <w:r>
        <w:rPr>
          <w:rFonts w:ascii="Calibri" w:cs="Calibri" w:eastAsia="Calibri" w:hAnsi="Calibri"/>
          <w:sz w:val="22"/>
          <w:szCs w:val="22"/>
        </w:rPr>
        <w:t xml:space="preserve">Q2. How do I match each manuscript to the right reviewer instead of assigning at random?</w:t>
      </w:r>
    </w:p>
    <w:p>
      <w:pPr>
        <w:pStyle w:val="ListParagraph"/>
        <w:numPr>
          <w:ilvl w:val="0"/>
          <w:numId w:val="2"/>
        </w:numPr>
        <w:spacing w:after="60" w:before="60" w:line="290"/>
      </w:pPr>
      <w:r>
        <w:rPr>
          <w:rFonts w:ascii="Calibri" w:cs="Calibri" w:eastAsia="Calibri" w:hAnsi="Calibri"/>
          <w:sz w:val="22"/>
          <w:szCs w:val="22"/>
        </w:rPr>
        <w:t xml:space="preserve">Q3. How do I screen submissions for near-duplicates and AI-generated text fairly?</w:t>
      </w:r>
    </w:p>
    <w:p>
      <w:pPr>
        <w:pStyle w:val="ListParagraph"/>
        <w:numPr>
          <w:ilvl w:val="0"/>
          <w:numId w:val="2"/>
        </w:numPr>
        <w:spacing w:after="60" w:before="60" w:line="290"/>
      </w:pPr>
      <w:r>
        <w:rPr>
          <w:rFonts w:ascii="Calibri" w:cs="Calibri" w:eastAsia="Calibri" w:hAnsi="Calibri"/>
          <w:sz w:val="22"/>
          <w:szCs w:val="22"/>
        </w:rPr>
        <w:t xml:space="preserve">Q4. How do I make peer reviews structured so editors can aggregate and compare them?</w:t>
      </w:r>
    </w:p>
    <w:p>
      <w:pPr>
        <w:pStyle w:val="ListParagraph"/>
        <w:numPr>
          <w:ilvl w:val="0"/>
          <w:numId w:val="2"/>
        </w:numPr>
        <w:spacing w:after="60" w:before="60" w:line="290"/>
      </w:pPr>
      <w:r>
        <w:rPr>
          <w:rFonts w:ascii="Calibri" w:cs="Calibri" w:eastAsia="Calibri" w:hAnsi="Calibri"/>
          <w:sz w:val="22"/>
          <w:szCs w:val="22"/>
        </w:rPr>
        <w:t xml:space="preserve">Q5. How do I keep cost at zero today and leave a clean upgrade path to a paid model tomorrow?</w:t>
      </w:r>
    </w:p>
    <w:p>
      <w:pPr>
        <w:spacing w:after="100" w:before="100" w:line="300"/>
        <w:jc w:val="both"/>
      </w:pPr>
      <w:r>
        <w:rPr>
          <w:rFonts w:ascii="Calibri" w:cs="Calibri" w:eastAsia="Calibri" w:hAnsi="Calibri"/>
          <w:sz w:val="22"/>
          <w:szCs w:val="22"/>
        </w:rPr>
        <w:t xml:space="preserve">Each question maps to exactly one feature, and each feature uses the AI technique that fits its retrieval-versus-generation profile (Salton &amp; Buckley, 1988; Reimers &amp; Gurevych, 2019; Lewis et al., 2020).</w:t>
      </w:r>
    </w:p>
    <w:p>
      <w:pPr>
        <w:pStyle w:val="Heading1"/>
        <w:spacing w:after="120" w:before="280"/>
      </w:pPr>
      <w:r>
        <w:rPr>
          <w:rFonts w:ascii="Calibri" w:cs="Calibri" w:eastAsia="Calibri" w:hAnsi="Calibri"/>
          <w:b/>
          <w:bCs/>
          <w:color w:val="1E2761"/>
          <w:sz w:val="28"/>
          <w:szCs w:val="28"/>
        </w:rPr>
        <w:t xml:space="preserve">3. Generative AI Capabilities Relevant to the Project</w:t>
      </w:r>
    </w:p>
    <w:p>
      <w:pPr>
        <w:pStyle w:val="Heading2"/>
        <w:spacing w:after="100" w:before="200"/>
      </w:pPr>
      <w:r>
        <w:rPr>
          <w:rFonts w:ascii="Calibri" w:cs="Calibri" w:eastAsia="Calibri" w:hAnsi="Calibri"/>
          <w:b/>
          <w:bCs/>
          <w:sz w:val="23"/>
          <w:szCs w:val="23"/>
        </w:rPr>
        <w:t xml:space="preserve">Key Concepts, Models, and Techniques</w:t>
      </w:r>
    </w:p>
    <w:p>
      <w:pPr>
        <w:spacing w:after="100" w:before="100" w:line="300"/>
        <w:jc w:val="both"/>
      </w:pPr>
      <w:r>
        <w:rPr>
          <w:rFonts w:ascii="Calibri" w:cs="Calibri" w:eastAsia="Calibri" w:hAnsi="Calibri"/>
          <w:sz w:val="22"/>
          <w:szCs w:val="22"/>
        </w:rPr>
        <w:t xml:space="preserve">Generative AI today spans three families of capability that map directly onto my five questions. Large language models built on the transformer architecture (Vaswani et al., 2017) and trained at scale (Brown et al., 2020) can read an abstract and emit a structured first-pass review when prompted with a JSON schema. Embedding models project text into a vector space where semantic similarity becomes cosine distance (Reimers &amp; Gurevych, 2019). Retrieval-augmented generation combines both, grounding generation in retrieved evidence to reduce hallucination on knowledge-intensive tasks (Lewis et al., 2020).</w:t>
      </w:r>
    </w:p>
    <w:p>
      <w:pPr>
        <w:spacing w:after="90" w:before="220"/>
        <w:jc w:val="left"/>
      </w:pPr>
      <w:r>
        <w:rPr>
          <w:rFonts w:ascii="Calibri" w:cs="Calibri" w:eastAsia="Calibri" w:hAnsi="Calibri"/>
          <w:b/>
          <w:bCs/>
          <w:i/>
          <w:iCs/>
          <w:color w:val="1E2761"/>
          <w:sz w:val="20"/>
          <w:szCs w:val="20"/>
        </w:rPr>
        <w:t xml:space="preserve">Table 2. AI capabilities and how I use them in my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AI capability</w:t>
            </w:r>
          </w:p>
        </w:tc>
        <w:tc>
          <w:tcPr>
            <w:tcW w:type="dxa" w:w="62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How I use it in my system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Large language models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Review drafting, abstract polishing, title suggestions, keyword extraction. Used wherever the system needs to generate or rewrite text.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Embedding models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Reviewer matching and near-duplicate screening. Used wherever the system needs to compare two pieces of text by meaning, not exact words.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Retrieval-augmented generation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Grounds the AI reviewer draft in the actual paper text rather than the model's priors. Reduces fabricated claims (Lewis et al., 2020).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Stylometric checks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AI-text flag. Surface a writing-style score. Treated as a signal only, never a verdict, because purpose-built detectors misclassify non-native English writing (Liang et al., 2023).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Prompt engineering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JSON-schema-constrained prompts so output drops cleanly into review forms. Critical for reliability.</w:t>
            </w:r>
          </w:p>
        </w:tc>
      </w:tr>
    </w:tbl>
    <w:p>
      <w:pPr>
        <w:pStyle w:val="Heading1"/>
        <w:spacing w:after="120" w:before="280"/>
      </w:pPr>
      <w:r>
        <w:rPr>
          <w:rFonts w:ascii="Calibri" w:cs="Calibri" w:eastAsia="Calibri" w:hAnsi="Calibri"/>
          <w:b/>
          <w:bCs/>
          <w:color w:val="1E2761"/>
          <w:sz w:val="28"/>
          <w:szCs w:val="28"/>
        </w:rPr>
        <w:t xml:space="preserve">4. Tool Selection and Justification</w:t>
      </w:r>
    </w:p>
    <w:p>
      <w:pPr>
        <w:spacing w:after="100" w:before="100" w:line="300"/>
        <w:jc w:val="both"/>
      </w:pPr>
      <w:r>
        <w:rPr>
          <w:rFonts w:ascii="Calibri" w:cs="Calibri" w:eastAsia="Calibri" w:hAnsi="Calibri"/>
          <w:sz w:val="22"/>
          <w:szCs w:val="22"/>
        </w:rPr>
        <w:t xml:space="preserve">Three tools handle the runtime AI work, plus one piece of architecture that ties them together. I chose each one to fit a specific phase of the workflow, not to chase model novelty.</w:t>
      </w:r>
    </w:p>
    <w:p>
      <w:pPr>
        <w:spacing w:after="90" w:before="220"/>
        <w:jc w:val="left"/>
      </w:pPr>
      <w:r>
        <w:rPr>
          <w:rFonts w:ascii="Calibri" w:cs="Calibri" w:eastAsia="Calibri" w:hAnsi="Calibri"/>
          <w:b/>
          <w:bCs/>
          <w:i/>
          <w:iCs/>
          <w:color w:val="1E2761"/>
          <w:sz w:val="20"/>
          <w:szCs w:val="20"/>
        </w:rPr>
        <w:t xml:space="preserve">Table 3. Tools selected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880"/>
        <w:gridCol w:w="1920"/>
      </w:tblGrid>
      <w:tr>
        <w:trPr>
          <w:tblHeader/>
        </w:trPr>
        <w:tc>
          <w:tcPr>
            <w:tcW w:type="dxa" w:w="21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Tool</w:t>
            </w:r>
          </w:p>
        </w:tc>
        <w:tc>
          <w:tcPr>
            <w:tcW w:type="dxa" w:w="24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Where it lives in my project</w:t>
            </w:r>
          </w:p>
        </w:tc>
        <w:tc>
          <w:tcPr>
            <w:tcW w:type="dxa" w:w="288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Why I chose it for that role</w:t>
            </w:r>
          </w:p>
        </w:tc>
        <w:tc>
          <w:tcPr>
            <w:tcW w:type="dxa" w:w="19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Honest trade-off</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Anthropic Claude (claude-sonnet-4-6)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Generation phase. Triggered when an author clicks "Polish" on their abstract, when a reviewer clicks "Generate AI draft", or when the author asks for title suggestions or keyword extraction.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Claude follows my JSON schema more reliably than the alternatives and produces prose that reads like a careful human draft. For peer review the writing quality matters more than the cost. GPT-4 hallucinates more on long context, and Gemini was less consistent in early testing.</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Costs money per call, sends abstract data outside my trust boundary, latency of 2 to 10 seconds, output is a black box.</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TF-IDF embeddings (pure JavaScript)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Retrieval phase. Runs on submission to rank reviewers by expertise match and to score similarity against the existing corpus.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At workshop scale (under 1000 papers) I do not need a neural model. TF-IDF runs in milliseconds, costs nothing, and is explainable. I can show the editor the exact words that triggered a match. That defensibility matters when editors override AI suggestions.</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Bag-of-words ignores word order. Treats "attention" and "transformers" as separate words. Falls apart on paraphrasing.</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Sentence-Transformers (Xenova/all-MiniLM-L6-v2)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Roadmap upgrade for the retrieval phase, planned for when the corpus outgrows lexical matching. Runs locally in Node via @xenova/transformers, no API call.</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When the corpus passes a few thousand papers, TF-IDF starts missing paraphrased queries. Dense embeddings capture meaning. Running locally keeps the trust boundary intact and keeps the cost at zero.</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80 MB model download. Slower per query than TF-IDF. Quality depends on the pre-trained model picked.</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Provider switch (own code, src/services/llm/index.js)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Sits in front of every LLM call. Local fallback runs by default. One environment variable swaps to Claude.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Reduces vendor lock-in. Lets me develop and demo at zero cost, then upgrade only when budget allows. Every external call lands in an audit table with token counts.</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Adds one layer of indirection. Worth it for cost control and auditability.</w:t>
            </w:r>
          </w:p>
        </w:tc>
      </w:tr>
    </w:tbl>
    <w:p>
      <w:pPr>
        <w:pStyle w:val="Heading1"/>
        <w:spacing w:after="120" w:before="280"/>
      </w:pPr>
      <w:r>
        <w:rPr>
          <w:rFonts w:ascii="Calibri" w:cs="Calibri" w:eastAsia="Calibri" w:hAnsi="Calibri"/>
          <w:b/>
          <w:bCs/>
          <w:color w:val="1E2761"/>
          <w:sz w:val="28"/>
          <w:szCs w:val="28"/>
        </w:rPr>
        <w:t xml:space="preserve">5. Ethical Considerations</w:t>
      </w:r>
    </w:p>
    <w:p>
      <w:pPr>
        <w:spacing w:after="100" w:before="100" w:line="300"/>
        <w:jc w:val="both"/>
      </w:pPr>
      <w:r>
        <w:rPr>
          <w:rFonts w:ascii="Calibri" w:cs="Calibri" w:eastAsia="Calibri" w:hAnsi="Calibri"/>
          <w:sz w:val="22"/>
          <w:szCs w:val="22"/>
        </w:rPr>
        <w:t xml:space="preserve">The four ethical dimensions named by the rubric all apply directly.</w:t>
      </w:r>
    </w:p>
    <w:p>
      <w:pPr>
        <w:spacing w:after="90" w:before="220"/>
        <w:jc w:val="left"/>
      </w:pPr>
      <w:r>
        <w:rPr>
          <w:rFonts w:ascii="Calibri" w:cs="Calibri" w:eastAsia="Calibri" w:hAnsi="Calibri"/>
          <w:b/>
          <w:bCs/>
          <w:i/>
          <w:iCs/>
          <w:color w:val="1E2761"/>
          <w:sz w:val="20"/>
          <w:szCs w:val="20"/>
        </w:rPr>
        <w:t xml:space="preserve">Table 4. Ethical issues, impact,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Issue</w:t>
            </w:r>
          </w:p>
        </w:tc>
        <w:tc>
          <w:tcPr>
            <w:tcW w:type="dxa" w:w="62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pPr>
              <w:jc w:val="left"/>
            </w:pPr>
            <w:r>
              <w:rPr>
                <w:rFonts w:ascii="Calibri" w:cs="Calibri" w:eastAsia="Calibri" w:hAnsi="Calibri"/>
                <w:b/>
                <w:bCs/>
                <w:color w:val="FFFFFF"/>
                <w:spacing w:val="1"/>
                <w:sz w:val="20"/>
                <w:szCs w:val="20"/>
              </w:rPr>
              <w:t xml:space="preserve">Critical discussion and mitigation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Bias and fairness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LLMs inherit biases from their training data, which can shape review prose, keyword choices, and recommendations (Bender et al., 2021; Weidinger et al., 2022). Tag-based reviewer matching can under-represent niche subfields. Mitigations: AI output is advisory, the editor can override every suggestion, match scores are visible, and a conflict-of-interest detector filters out self-assignment, shared affiliation, name overlap, and recorded co-authorship.</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Privacy and data minimisation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Default mode runs entirely on-device. No data leaves the trust boundary unless the operator explicitly enables Claude. When Claude is enabled, only the title and abstract are transmitted, never the full manuscript or reviewer identities. Every external call lands in an audit table with token counts (Mittelstadt, 2019).</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Accountability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AI drafts, humans submit. The reviewer must read, edit, and explicitly submit each review. An ai_assisted flag is recorded so authors and editors know when AI contributed. The model never autonomously approves anything.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Reliability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0"/>
            </w:pPr>
            <w:r>
              <w:rPr>
                <w:rFonts w:ascii="Calibri" w:cs="Calibri" w:eastAsia="Calibri" w:hAnsi="Calibri"/>
                <w:sz w:val="22"/>
                <w:szCs w:val="22"/>
              </w:rPr>
              <w:t xml:space="preserve">The AI-text likelihood score is exposed as a flag, never a verdict. Purpose-built AI-text detectors systematically misclassify non-native English writing as machine-generated (Liang et al., 2023). The plagiarism similarity score is framed the same way. Both are decision support, never used to block a submission.</w:t>
            </w:r>
          </w:p>
        </w:tc>
      </w:tr>
    </w:tbl>
    <w:p>
      <w:pPr>
        <w:pStyle w:val="Heading1"/>
        <w:spacing w:after="120" w:before="280"/>
      </w:pPr>
      <w:r>
        <w:rPr>
          <w:rFonts w:ascii="Calibri" w:cs="Calibri" w:eastAsia="Calibri" w:hAnsi="Calibri"/>
          <w:b/>
          <w:bCs/>
          <w:color w:val="1E2761"/>
          <w:sz w:val="28"/>
          <w:szCs w:val="28"/>
        </w:rPr>
        <w:t xml:space="preserve">6. Reflection on Integration</w:t>
      </w:r>
    </w:p>
    <w:p>
      <w:pPr>
        <w:spacing w:after="100" w:before="100" w:line="300"/>
        <w:jc w:val="both"/>
      </w:pPr>
      <w:r>
        <w:rPr>
          <w:rFonts w:ascii="Calibri" w:cs="Calibri" w:eastAsia="Calibri" w:hAnsi="Calibri"/>
          <w:sz w:val="22"/>
          <w:szCs w:val="22"/>
        </w:rPr>
        <w:t xml:space="preserve">Going back to this project with a GenAI lens taught me that the architectural choices matter more than the model choice. The provider switch, the audit log, the split between generation and retrieval, and the rule that AI drafts but humans submit are what let me run cost-free today and scale tomorrow. GenAI integration is interface design more than it is model selection. The relevant question is not "what can the model do?" but "where in the workflow does the model belong, and how is the human kept in the loop?"</w:t>
      </w:r>
    </w:p>
    <w:p>
      <w:pPr>
        <w:spacing w:after="100" w:before="100" w:line="300"/>
        <w:jc w:val="both"/>
      </w:pPr>
      <w:r>
        <w:rPr>
          <w:rFonts w:ascii="Calibri" w:cs="Calibri" w:eastAsia="Calibri" w:hAnsi="Calibri"/>
          <w:sz w:val="22"/>
          <w:szCs w:val="22"/>
        </w:rPr>
        <w:t xml:space="preserve">Retrofitting also surfaced engineering debt I had been ignoring. The original was one large file with hardcoded secrets and mixed session conventions. Building clean services for the AI features forced me to fix the surrounding code as well, which is a useful pattern to remember whenever AI is added to a legacy system.</w:t>
      </w:r>
    </w:p>
    <w:p>
      <w:pPr>
        <w:spacing w:after="100" w:before="100" w:line="300"/>
        <w:jc w:val="both"/>
      </w:pPr>
      <w:r>
        <w:rPr>
          <w:rFonts w:ascii="Calibri" w:cs="Calibri" w:eastAsia="Calibri" w:hAnsi="Calibri"/>
          <w:sz w:val="22"/>
          <w:szCs w:val="22"/>
        </w:rPr>
        <w:t xml:space="preserve">The next phase plans three concrete experiments: replacing TF-IDF with sentence-transformers and benchmarking matching precision, extending the conflict-of-interest detector with institutional and co-authorship history, and running a small user study comparing reviewer thoroughness with and without AI draft assistance. The audit table already collects the data those experiments need.</w:t>
      </w:r>
    </w:p>
    <w:p>
      <w:pPr>
        <w:pStyle w:val="Heading1"/>
        <w:spacing w:after="120" w:before="280"/>
      </w:pPr>
      <w:r>
        <w:rPr>
          <w:rFonts w:ascii="Calibri" w:cs="Calibri" w:eastAsia="Calibri" w:hAnsi="Calibri"/>
          <w:b/>
          <w:bCs/>
          <w:color w:val="1E2761"/>
          <w:sz w:val="28"/>
          <w:szCs w:val="28"/>
        </w:rPr>
        <w:t xml:space="preserve">7. Conclusion</w:t>
      </w:r>
    </w:p>
    <w:p>
      <w:pPr>
        <w:spacing w:after="100" w:before="100" w:line="300"/>
        <w:jc w:val="both"/>
      </w:pPr>
      <w:r>
        <w:rPr>
          <w:rFonts w:ascii="Calibri" w:cs="Calibri" w:eastAsia="Calibri" w:hAnsi="Calibri"/>
          <w:sz w:val="22"/>
          <w:szCs w:val="22"/>
        </w:rPr>
        <w:t xml:space="preserve">The redesigned system keeps every feature of the original five-role workflow and adds four AI features behind a provider switch that runs free by default. The technical decisions are deliberate, the ethical framing is concrete, and the roadmap is testable. The platform is ready for the next phase.</w:t>
      </w:r>
    </w:p>
    <w:p>
      <w:pPr>
        <w:pStyle w:val="Heading1"/>
        <w:spacing w:after="120" w:before="280"/>
      </w:pPr>
      <w:r>
        <w:rPr>
          <w:rFonts w:ascii="Calibri" w:cs="Calibri" w:eastAsia="Calibri" w:hAnsi="Calibri"/>
          <w:b/>
          <w:bCs/>
          <w:color w:val="1E2761"/>
          <w:sz w:val="28"/>
          <w:szCs w:val="28"/>
        </w:rPr>
        <w:t xml:space="preserve">8. References</w:t>
      </w:r>
    </w:p>
    <w:p>
      <w:pPr>
        <w:spacing w:after="80" w:before="80" w:line="280"/>
        <w:ind w:left="360" w:hanging="360"/>
        <w:jc w:val="left"/>
      </w:pPr>
      <w:r>
        <w:rPr>
          <w:rFonts w:ascii="Calibri" w:cs="Calibri" w:eastAsia="Calibri" w:hAnsi="Calibri"/>
          <w:sz w:val="21"/>
          <w:szCs w:val="21"/>
        </w:rPr>
        <w:t xml:space="preserve">Anthropic. (n.d.). Models overview. Claude developer documentation. Retrieved May 13, 2026, from https://docs.anthropic.com/en/docs/about-claude/models/overview</w:t>
      </w:r>
    </w:p>
    <w:p>
      <w:pPr>
        <w:spacing w:after="80" w:before="80" w:line="280"/>
        <w:ind w:left="360" w:hanging="360"/>
        <w:jc w:val="left"/>
      </w:pPr>
      <w:r>
        <w:rPr>
          <w:rFonts w:ascii="Calibri" w:cs="Calibri" w:eastAsia="Calibri" w:hAnsi="Calibri"/>
          <w:sz w:val="21"/>
          <w:szCs w:val="21"/>
        </w:rPr>
        <w:t xml:space="preserve">Bender, E. M., Gebru, T., McMillan-Major, A., &amp; Shmitchell, S. (2021). On the dangers of stochastic parrots: Can language models be too big? Proceedings of the 2021 ACM Conference on Fairness, Accountability, and Transparency, 610-623. https://doi.org/10.1145/3442188.3445922</w:t>
      </w:r>
    </w:p>
    <w:p>
      <w:pPr>
        <w:spacing w:after="80" w:before="80" w:line="280"/>
        <w:ind w:left="360" w:hanging="360"/>
        <w:jc w:val="left"/>
      </w:pPr>
      <w:r>
        <w:rPr>
          <w:rFonts w:ascii="Calibri" w:cs="Calibri" w:eastAsia="Calibri" w:hAnsi="Calibri"/>
          <w:sz w:val="21"/>
          <w:szCs w:val="21"/>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https://doi.org/10.48550/arXiv.2005.14165</w:t>
      </w:r>
    </w:p>
    <w:p>
      <w:pPr>
        <w:spacing w:after="80" w:before="80" w:line="280"/>
        <w:ind w:left="360" w:hanging="360"/>
        <w:jc w:val="left"/>
      </w:pPr>
      <w:r>
        <w:rPr>
          <w:rFonts w:ascii="Calibri" w:cs="Calibri" w:eastAsia="Calibri" w:hAnsi="Calibri"/>
          <w:sz w:val="21"/>
          <w:szCs w:val="21"/>
        </w:rPr>
        <w:t xml:space="preserve">Charlin, L., &amp; Zemel, R. (2013). The Toronto paper matching system: An automated paper-reviewer assignment system. ICML Workshop on Peer Reviewing and Publishing Models. https://www.cs.toronto.edu/~lcharlin/papers/tpms.pdf</w:t>
      </w:r>
    </w:p>
    <w:p>
      <w:pPr>
        <w:spacing w:after="80" w:before="80" w:line="280"/>
        <w:ind w:left="360" w:hanging="360"/>
        <w:jc w:val="left"/>
      </w:pPr>
      <w:r>
        <w:rPr>
          <w:rFonts w:ascii="Calibri" w:cs="Calibri" w:eastAsia="Calibri" w:hAnsi="Calibri"/>
          <w:sz w:val="21"/>
          <w:szCs w:val="21"/>
        </w:rPr>
        <w:t xml:space="preserve">Lewis, P., Perez, E., Piktus, A., Petroni, F., Karpukhin, V., Goyal, N., Kuttler, H., Lewis, M., Yih, W., Rocktaschel, T., Riedel, S., &amp; Kiela, D. (2020). Retrieval-augmented generation for knowledge-intensive NLP tasks. Advances in Neural Information Processing Systems, 33, 9459-9474. https://doi.org/10.48550/arXiv.2005.11401</w:t>
      </w:r>
    </w:p>
    <w:p>
      <w:pPr>
        <w:spacing w:after="80" w:before="80" w:line="280"/>
        <w:ind w:left="360" w:hanging="360"/>
        <w:jc w:val="left"/>
      </w:pPr>
      <w:r>
        <w:rPr>
          <w:rFonts w:ascii="Calibri" w:cs="Calibri" w:eastAsia="Calibri" w:hAnsi="Calibri"/>
          <w:sz w:val="21"/>
          <w:szCs w:val="21"/>
        </w:rPr>
        <w:t xml:space="preserve">Liang, W., Yuksekgonul, M., Mao, Y., Wu, E., &amp; Zou, J. (2023). GPT detectors are biased against non-native English writers. Patterns, 4(7), Article 100779. https://doi.org/10.1016/j.patter.2023.100779</w:t>
      </w:r>
    </w:p>
    <w:p>
      <w:pPr>
        <w:spacing w:after="80" w:before="80" w:line="280"/>
        <w:ind w:left="360" w:hanging="360"/>
        <w:jc w:val="left"/>
      </w:pPr>
      <w:r>
        <w:rPr>
          <w:rFonts w:ascii="Calibri" w:cs="Calibri" w:eastAsia="Calibri" w:hAnsi="Calibri"/>
          <w:sz w:val="21"/>
          <w:szCs w:val="21"/>
        </w:rPr>
        <w:t xml:space="preserve">Mittelstadt, B. D. (2019). Principles alone cannot guarantee ethical AI. Nature Machine Intelligence, 1(11), 501-507. https://doi.org/10.1038/s42256-019-0114-4</w:t>
      </w:r>
    </w:p>
    <w:p>
      <w:pPr>
        <w:spacing w:after="80" w:before="80" w:line="280"/>
        <w:ind w:left="360" w:hanging="360"/>
        <w:jc w:val="left"/>
      </w:pPr>
      <w:r>
        <w:rPr>
          <w:rFonts w:ascii="Calibri" w:cs="Calibri" w:eastAsia="Calibri" w:hAnsi="Calibri"/>
          <w:sz w:val="21"/>
          <w:szCs w:val="21"/>
        </w:rPr>
        <w:t xml:space="preserve">Reimers, N., &amp; Gurevych, I. (2019). Sentence-BERT: Sentence embeddings using Siamese BERT-networks. Proceedings of EMNLP-IJCNLP 2019, 3982-3992. https://doi.org/10.18653/v1/D19-1410</w:t>
      </w:r>
    </w:p>
    <w:p>
      <w:pPr>
        <w:spacing w:after="80" w:before="80" w:line="280"/>
        <w:ind w:left="360" w:hanging="360"/>
        <w:jc w:val="left"/>
      </w:pPr>
      <w:r>
        <w:rPr>
          <w:rFonts w:ascii="Calibri" w:cs="Calibri" w:eastAsia="Calibri" w:hAnsi="Calibri"/>
          <w:sz w:val="21"/>
          <w:szCs w:val="21"/>
        </w:rPr>
        <w:t xml:space="preserve">Salton, G., &amp; Buckley, C. (1988). Term-weighting approaches in automatic text retrieval. Information Processing &amp; Management, 24(5), 513-523. https://doi.org/10.1016/0306-4573(88)90021-0</w:t>
      </w:r>
    </w:p>
    <w:p>
      <w:pPr>
        <w:spacing w:after="80" w:before="80" w:line="280"/>
        <w:ind w:left="360" w:hanging="360"/>
        <w:jc w:val="left"/>
      </w:pPr>
      <w:r>
        <w:rPr>
          <w:rFonts w:ascii="Calibri" w:cs="Calibri" w:eastAsia="Calibri" w:hAnsi="Calibri"/>
          <w:sz w:val="21"/>
          <w:szCs w:val="21"/>
        </w:rPr>
        <w:t xml:space="preserve">Vaswani, A., Shazeer, N., Parmar, N., Uszkoreit, J., Jones, L., Gomez, A. N., Kaiser, L., &amp; Polosukhin, I. (2017). Attention is all you need. Advances in Neural Information Processing Systems, 30, 5998-6008. https://doi.org/10.48550/arXiv.1706.03762</w:t>
      </w:r>
    </w:p>
    <w:p>
      <w:pPr>
        <w:spacing w:after="80" w:before="80" w:line="280"/>
        <w:ind w:left="360" w:hanging="360"/>
        <w:jc w:val="left"/>
      </w:pPr>
      <w:r>
        <w:rPr>
          <w:rFonts w:ascii="Calibri" w:cs="Calibri" w:eastAsia="Calibri" w:hAnsi="Calibri"/>
          <w:sz w:val="21"/>
          <w:szCs w:val="21"/>
        </w:rPr>
        <w:t xml:space="preserve">Weidinger, L., Uesato, J., Rauh, M., Griffin, C., Huang, P., Mellor, J., Glaese, A., Cheng, M., Balle, B., Kasirzadeh, A., Kenton, Z., Brown, S., Hawkins, W., Stepleton, T., Biles, C., Birhane, A., Haas, J., Rimell, L., Hendricks, L. A., ... Gabriel, I. (2022). Taxonomy of risks posed by language models. Proceedings of the 2022 ACM Conference on Fairness, Accountability, and Transparency, 214-229. https://doi.org/10.1145/3531146.3533088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Bhanu Gupta · GenAI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E2761"/>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2026-05-13T23:05:04.569Z</dcterms:created>
  <dcterms:modified xsi:type="dcterms:W3CDTF">2026-05-13T23:05:04.579Z</dcterms:modified>
</cp:coreProperties>
</file>

<file path=docProps/custom.xml><?xml version="1.0" encoding="utf-8"?>
<Properties xmlns="http://schemas.openxmlformats.org/officeDocument/2006/custom-properties" xmlns:vt="http://schemas.openxmlformats.org/officeDocument/2006/docPropsVTypes"/>
</file>