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6. Experimental Setup and Methodology</w:t>
      </w:r>
    </w:p>
    <w:p>
      <w:pPr>
        <w:pStyle w:val="Heading2"/>
      </w:pPr>
      <w:r>
        <w:t>6.1 Objective</w:t>
      </w:r>
    </w:p>
    <w:p>
      <w:r>
        <w:t>To validate the simulation model using realistic refining conditions and laboratory-scale testing for four common edible oils: mustard, soybean, groundnut, and sunflower.</w:t>
      </w:r>
    </w:p>
    <w:p>
      <w:pPr>
        <w:pStyle w:val="Heading2"/>
      </w:pPr>
      <w:r>
        <w:t>6.2 Materials and Equipment</w:t>
      </w:r>
    </w:p>
    <w:p>
      <w:r>
        <w:t>- Oilseeds Used: Mustard, Soybean, Sunflower, Groundnut</w:t>
        <w:br/>
        <w:t>- Extraction Methods:</w:t>
        <w:br/>
        <w:t xml:space="preserve">  - Mechanical Expeller (cold press)</w:t>
        <w:br/>
        <w:t xml:space="preserve">  - Solvent extraction (hexane method)</w:t>
        <w:br/>
        <w:t>- Reagents:</w:t>
        <w:br/>
        <w:t xml:space="preserve">  - Sodium Hydroxide (NaOH, 0.1N and 0.25N)</w:t>
        <w:br/>
        <w:t xml:space="preserve">  - Phosphoric Acid (for degumming)</w:t>
        <w:br/>
        <w:t xml:space="preserve">  - Bleaching Earth/Activated Clay (1.0–1.5%)</w:t>
        <w:br/>
        <w:t>- Equipment:</w:t>
        <w:br/>
        <w:t xml:space="preserve">  - Laboratory neutralizer with stirrer and water bath</w:t>
        <w:br/>
        <w:t xml:space="preserve">  - Digital titrator and burettes</w:t>
        <w:br/>
        <w:t xml:space="preserve">  - Soxhlet extractor</w:t>
        <w:br/>
        <w:t xml:space="preserve">  - Oven and balance for yield analysis</w:t>
        <w:br/>
        <w:t xml:space="preserve">  - Lovibond Tintometer (optional, for color analysis)</w:t>
      </w:r>
    </w:p>
    <w:p>
      <w:pPr>
        <w:pStyle w:val="Heading2"/>
      </w:pPr>
      <w:r>
        <w:t>6.3 Methodology</w:t>
      </w:r>
    </w:p>
    <w:p>
      <w:pPr>
        <w:pStyle w:val="ListBullet"/>
      </w:pPr>
      <w:r>
        <w:t>Step 1: Crude Oil Extraction</w:t>
      </w:r>
    </w:p>
    <w:p>
      <w:r>
        <w:t>Oil was extracted using an expeller or Soxhlet (hexane-based) from pre-cleaned oilseeds. Yield was recorded and compared with standard literature values for validation.</w:t>
      </w:r>
    </w:p>
    <w:p>
      <w:pPr>
        <w:pStyle w:val="ListBullet"/>
      </w:pPr>
      <w:r>
        <w:t>Step 2: Degumming</w:t>
      </w:r>
    </w:p>
    <w:p>
      <w:r>
        <w:t>0.1–0.2% phosphoric acid was added and mixed at 60°C for 30 minutes. The mixture was centrifuged to remove gums and phosphatides.</w:t>
      </w:r>
    </w:p>
    <w:p>
      <w:pPr>
        <w:pStyle w:val="ListBullet"/>
      </w:pPr>
      <w:r>
        <w:t>Step 3: Neutralization</w:t>
      </w:r>
    </w:p>
    <w:p>
      <w:r>
        <w:t>Sodium hydroxide solution (based on estimated FFA) was added dropwise under constant stirring. Reaction temperature was maintained at 70°C. Soapstock formed was removed, and refined oil was washed and dried.</w:t>
      </w:r>
    </w:p>
    <w:p>
      <w:pPr>
        <w:pStyle w:val="ListBullet"/>
      </w:pPr>
      <w:r>
        <w:t>Step 4: Bleaching</w:t>
      </w:r>
    </w:p>
    <w:p>
      <w:r>
        <w:t>1–1.5% bleaching earth was added to refined oil at 90–100°C under vacuum. After 30 minutes of mixing, oil was filtered to remove color bodies.</w:t>
      </w:r>
    </w:p>
    <w:p>
      <w:pPr>
        <w:pStyle w:val="Heading2"/>
      </w:pPr>
      <w:r>
        <w:t>6.4 Quality Testing (Post-Processing)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Method Used</w:t>
            </w:r>
          </w:p>
        </w:tc>
        <w:tc>
          <w:tcPr>
            <w:tcW w:type="dxa" w:w="2880"/>
          </w:tcPr>
          <w:p>
            <w:r>
              <w:t>Standard Followed</w:t>
            </w:r>
          </w:p>
        </w:tc>
      </w:tr>
      <w:tr>
        <w:tc>
          <w:tcPr>
            <w:tcW w:type="dxa" w:w="2880"/>
          </w:tcPr>
          <w:p>
            <w:r>
              <w:t>Free Fatty Acid</w:t>
            </w:r>
          </w:p>
        </w:tc>
        <w:tc>
          <w:tcPr>
            <w:tcW w:type="dxa" w:w="2880"/>
          </w:tcPr>
          <w:p>
            <w:r>
              <w:t>Titrimetric (NaOH titration)</w:t>
            </w:r>
          </w:p>
        </w:tc>
        <w:tc>
          <w:tcPr>
            <w:tcW w:type="dxa" w:w="2880"/>
          </w:tcPr>
          <w:p>
            <w:r>
              <w:t>AOAC 940.28</w:t>
            </w:r>
          </w:p>
        </w:tc>
      </w:tr>
      <w:tr>
        <w:tc>
          <w:tcPr>
            <w:tcW w:type="dxa" w:w="2880"/>
          </w:tcPr>
          <w:p>
            <w:r>
              <w:t>Peroxide Value</w:t>
            </w:r>
          </w:p>
        </w:tc>
        <w:tc>
          <w:tcPr>
            <w:tcW w:type="dxa" w:w="2880"/>
          </w:tcPr>
          <w:p>
            <w:r>
              <w:t>Iodometric method</w:t>
            </w:r>
          </w:p>
        </w:tc>
        <w:tc>
          <w:tcPr>
            <w:tcW w:type="dxa" w:w="2880"/>
          </w:tcPr>
          <w:p>
            <w:r>
              <w:t>AOAC 965.33</w:t>
            </w:r>
          </w:p>
        </w:tc>
      </w:tr>
      <w:tr>
        <w:tc>
          <w:tcPr>
            <w:tcW w:type="dxa" w:w="2880"/>
          </w:tcPr>
          <w:p>
            <w:r>
              <w:t>Saponification Value</w:t>
            </w:r>
          </w:p>
        </w:tc>
        <w:tc>
          <w:tcPr>
            <w:tcW w:type="dxa" w:w="2880"/>
          </w:tcPr>
          <w:p>
            <w:r>
              <w:t>Reflux method</w:t>
            </w:r>
          </w:p>
        </w:tc>
        <w:tc>
          <w:tcPr>
            <w:tcW w:type="dxa" w:w="2880"/>
          </w:tcPr>
          <w:p>
            <w:r>
              <w:t>AOAC 920.160</w:t>
            </w:r>
          </w:p>
        </w:tc>
      </w:tr>
      <w:tr>
        <w:tc>
          <w:tcPr>
            <w:tcW w:type="dxa" w:w="2880"/>
          </w:tcPr>
          <w:p>
            <w:r>
              <w:t>Iodine Value</w:t>
            </w:r>
          </w:p>
        </w:tc>
        <w:tc>
          <w:tcPr>
            <w:tcW w:type="dxa" w:w="2880"/>
          </w:tcPr>
          <w:p>
            <w:r>
              <w:t>Wijs method</w:t>
            </w:r>
          </w:p>
        </w:tc>
        <w:tc>
          <w:tcPr>
            <w:tcW w:type="dxa" w:w="2880"/>
          </w:tcPr>
          <w:p>
            <w:r>
              <w:t>BIS 548:1968</w:t>
            </w:r>
          </w:p>
        </w:tc>
      </w:tr>
    </w:tbl>
    <w:p>
      <w:pPr>
        <w:pStyle w:val="Heading2"/>
      </w:pPr>
      <w:r>
        <w:t>6.5 Simulation Validation</w:t>
      </w:r>
    </w:p>
    <w:p>
      <w:r>
        <w:t>The observed FFA, NaOH consumption, and refining losses from lab experiments were compared against the simulation predictions. Deviation was found to be within ±0.08%, validating the model’s reliability for practical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