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Drawing Review Report</w:t>
      </w:r>
    </w:p>
    <w:p>
      <w:pPr>
        <w:jc w:val="center"/>
      </w:pPr>
      <w:r>
        <w:t>AI-assisted engineering drawing review</w:t>
      </w:r>
    </w:p>
    <w:p>
      <w:r>
        <w:t>Reviewed drawing file(s): 1.pdf</w:t>
      </w:r>
    </w:p>
    <w:p>
      <w:pPr>
        <w:pStyle w:val="Heading1"/>
      </w:pPr>
      <w:r>
        <w:t>1. Drawing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Demo Engineering Drawing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DEMO-DWG-001</w:t>
            </w:r>
          </w:p>
        </w:tc>
      </w:tr>
      <w:tr>
        <w:tc>
          <w:tcPr>
            <w:tcW w:type="dxa" w:w="4320"/>
          </w:tcPr>
          <w:p>
            <w:r>
              <w:t>Part Number</w:t>
            </w:r>
          </w:p>
        </w:tc>
        <w:tc>
          <w:tcPr>
            <w:tcW w:type="dxa" w:w="4320"/>
          </w:tcPr>
          <w:p>
            <w:r>
              <w:t>Not extracted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Not extracted (demo mode)</w:t>
            </w:r>
          </w:p>
        </w:tc>
      </w:tr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1:1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mm</w:t>
            </w:r>
          </w:p>
        </w:tc>
      </w:tr>
      <w:tr>
        <w:tc>
          <w:tcPr>
            <w:tcW w:type="dxa" w:w="4320"/>
          </w:tcPr>
          <w:p>
            <w:r>
              <w:t>Review Method</w:t>
            </w:r>
          </w:p>
        </w:tc>
        <w:tc>
          <w:tcPr>
            <w:tcW w:type="dxa" w:w="4320"/>
          </w:tcPr>
          <w:p>
            <w:r>
              <w:t>Automated AI-assisted analysis</w:t>
            </w:r>
          </w:p>
        </w:tc>
      </w:tr>
    </w:tbl>
    <w:p>
      <w:pPr>
        <w:pStyle w:val="Heading1"/>
      </w:pPr>
      <w:r>
        <w:t>2. Review Summary</w:t>
      </w:r>
    </w:p>
    <w:p>
      <w:r>
        <w:t>Drawing review completed in demo mode. Configure an API key for AI-powered analysis.</w:t>
      </w:r>
    </w:p>
    <w:p>
      <w:pPr>
        <w:pStyle w:val="Heading1"/>
      </w:pPr>
      <w:r>
        <w:t>3. Key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Drawing analysis is running in demo mode. No API key is configured.</w:t>
            </w:r>
          </w:p>
        </w:tc>
        <w:tc>
          <w:tcPr>
            <w:tcW w:type="dxa" w:w="1728"/>
          </w:tcPr>
          <w:p>
            <w:r>
              <w:t>Configure an OpenAI-compatible API key via the ⚙ settings panel.</w:t>
            </w:r>
          </w:p>
        </w:tc>
      </w:tr>
    </w:tbl>
    <w:p>
      <w:pPr>
        <w:pStyle w:val="Heading1"/>
      </w:pPr>
      <w:r>
        <w:t>4. Extracted Drawing Data</w:t>
      </w:r>
    </w:p>
    <w:p>
      <w:pPr>
        <w:pStyle w:val="Heading2"/>
      </w:pPr>
      <w:r>
        <w:t>Title Block</w:t>
      </w:r>
    </w:p>
    <w:p>
      <w:pPr>
        <w:pStyle w:val="ListBullet"/>
      </w:pPr>
      <w:r>
        <w:t>Drawing Number: DEMO-DWG-001</w:t>
      </w:r>
    </w:p>
    <w:p>
      <w:pPr>
        <w:pStyle w:val="ListBullet"/>
      </w:pPr>
      <w:r>
        <w:t>Title: Demo Engineering Drawing</w:t>
      </w:r>
    </w:p>
    <w:p>
      <w:pPr>
        <w:pStyle w:val="ListBullet"/>
      </w:pPr>
      <w:r>
        <w:t>Revision: A</w:t>
      </w:r>
    </w:p>
    <w:p>
      <w:pPr>
        <w:pStyle w:val="ListBullet"/>
      </w:pPr>
      <w:r>
        <w:t>Material: Not extracted (demo mode)</w:t>
      </w:r>
    </w:p>
    <w:p>
      <w:pPr>
        <w:pStyle w:val="ListBullet"/>
      </w:pPr>
      <w:r>
        <w:t>Scale: 1:1</w:t>
      </w:r>
    </w:p>
    <w:p>
      <w:pPr>
        <w:pStyle w:val="ListBullet"/>
      </w:pPr>
      <w:r>
        <w:t>Units: mm</w:t>
      </w:r>
    </w:p>
    <w:p>
      <w:pPr>
        <w:pStyle w:val="Heading2"/>
      </w:pPr>
      <w:r>
        <w:t>Revision Block</w:t>
      </w:r>
    </w:p>
    <w:p>
      <w:pPr>
        <w:pStyle w:val="ListBullet"/>
      </w:pPr>
      <w:r>
        <w:t>rev: A; description: Initial release; date: TBD</w:t>
      </w:r>
    </w:p>
    <w:p>
      <w:pPr>
        <w:pStyle w:val="Heading2"/>
      </w:pPr>
      <w:r>
        <w:t>Views</w:t>
      </w:r>
    </w:p>
    <w:p>
      <w:pPr>
        <w:pStyle w:val="ListBullet"/>
      </w:pPr>
      <w:r>
        <w:t>Front view</w:t>
      </w:r>
    </w:p>
    <w:p>
      <w:pPr>
        <w:pStyle w:val="ListBullet"/>
      </w:pPr>
      <w:r>
        <w:t>Section A-A</w:t>
      </w:r>
    </w:p>
    <w:p>
      <w:pPr>
        <w:pStyle w:val="Heading2"/>
      </w:pPr>
      <w:r>
        <w:t>Dimensions</w:t>
      </w:r>
    </w:p>
    <w:p>
      <w:pPr>
        <w:pStyle w:val="ListBullet"/>
      </w:pPr>
      <w:r>
        <w:t>value: 100; unit: mm</w:t>
      </w:r>
    </w:p>
    <w:p>
      <w:pPr>
        <w:pStyle w:val="ListBullet"/>
      </w:pPr>
      <w:r>
        <w:t>value: 50; unit: mm</w:t>
      </w:r>
    </w:p>
    <w:p>
      <w:pPr>
        <w:pStyle w:val="Heading2"/>
      </w:pPr>
      <w:r>
        <w:t>Tolerances</w:t>
      </w:r>
    </w:p>
    <w:p>
      <w:pPr>
        <w:pStyle w:val="ListBullet"/>
      </w:pPr>
      <w:r>
        <w:t>±0.1 mm general</w:t>
      </w:r>
    </w:p>
    <w:p>
      <w:pPr>
        <w:pStyle w:val="Heading2"/>
      </w:pPr>
      <w:r>
        <w:t>GD&amp;T</w:t>
      </w:r>
    </w:p>
    <w:p>
      <w:r>
        <w:t>No data extracted.</w:t>
      </w:r>
    </w:p>
    <w:p>
      <w:pPr>
        <w:pStyle w:val="Heading2"/>
      </w:pPr>
      <w:r>
        <w:t>Annotations</w:t>
      </w:r>
    </w:p>
    <w:p>
      <w:r>
        <w:t>No data extracted.</w:t>
      </w:r>
    </w:p>
    <w:p>
      <w:pPr>
        <w:pStyle w:val="Heading2"/>
      </w:pPr>
      <w:r>
        <w:t>General Notes</w:t>
      </w:r>
    </w:p>
    <w:p>
      <w:pPr>
        <w:pStyle w:val="ListBullet"/>
      </w:pPr>
      <w:r>
        <w:t>All dimensions in mm unless otherwise stated.</w:t>
      </w:r>
    </w:p>
    <w:p>
      <w:pPr>
        <w:pStyle w:val="Heading1"/>
      </w:pPr>
      <w:r>
        <w:t>5. Engineering Review Notes</w:t>
      </w:r>
    </w:p>
    <w:p>
      <w:pPr>
        <w:pStyle w:val="ListBullet"/>
      </w:pPr>
      <w:r>
        <w:t>AI-generated findings are review assistance only and do not replace engineering approval.</w:t>
      </w:r>
    </w:p>
    <w:p>
      <w:pPr>
        <w:pStyle w:val="Heading1"/>
      </w:pPr>
      <w:r>
        <w:t>6. Analysis Limitation</w:t>
      </w:r>
    </w:p>
    <w:p>
      <w:r>
        <w:t>Demo mode — configure an OpenAI-compatible API key and a vision model (e.g. gpt-4o) to enable real drawing analysis.</w:t>
      </w:r>
    </w:p>
    <w:p>
      <w:r>
        <w:rPr>
          <w:b/>
        </w:rPr>
        <w:t>Human engineering review required before release or manufacturing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