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Page Title -->
    <w:p>
      <w:pPr>
        <w:spacing w:before="0" w:after="60"/>
      </w:pPr>
      <w:r>
        <w:rPr>
          <w:b/>
          <w:sz w:val="34"/>
          <w:color w:val="1E3A8A"/>
        </w:rPr>
        <w:t>New Knowledge Builder (KB) Pipeline Feature Flags</w:t>
      </w:r>
    </w:p>
    <!-- Subtitle -->
    <w:p>
      <w:pPr>
        <w:spacing w:before="0" w:after="200"/>
      </w:pPr>
      <w:r>
        <w:rPr>
          <w:i/>
          <w:color w:val="64748B"/>
          <w:sz w:val="20"/>
        </w:rPr>
        <w:t>Specification Document • Feature Flags in New KB Pipeline UI</w:t>
      </w:r>
    </w:p>
    <!-- Scope Box -->
    <w:p>
      <w:pPr>
        <w:pBdr>
          <w:left w:val="single" w:sz="24" w:space="12" w:color="2563EB"/>
        </w:pBdr>
        <w:shd w:val="clear" w:color="auto" w:fill="F8FAFC"/>
        <w:spacing w:before="100" w:after="240"/>
      </w:pPr>
      <w:r>
        <w:rPr>
          <w:b/>
          <w:color w:val="1E40AF"/>
          <w:sz w:val="19"/>
        </w:rPr>
        <w:t>Scope: </w:t>
      </w:r>
      <w:r>
        <w:rPr>
          <w:color w:val="334155"/>
          <w:sz w:val="19"/>
        </w:rPr>
        <w:t>Active feature flags inside New KB Pipeline UI (knowledge-builder-pipeline &amp; kb-pipeline-* widgets).</w:t>
      </w:r>
    </w:p>
    <!-- Section 1 -->
    <w:p>
      <w:pPr>
        <w:spacing w:before="240" w:after="120"/>
      </w:pPr>
      <w:r>
        <w:rPr>
          <w:b/>
          <w:sz w:val="24"/>
          <w:color w:val="0F172A"/>
        </w:rPr>
        <w:t>1. KB Pipeline Feature Flags Reference Table</w:t>
      </w:r>
    </w:p>
    <!-- Table -->
    <w:tbl>
      <w:tblPr>
        <w:tblW w:w="9360" w:type="dxa"/>
        <w:tblCellMar>
          <w:top w:w="120" w:type="dxa"/>
          <w:bottom w:w="120" w:type="dxa"/>
          <w:left w:w="160" w:type="dxa"/>
          <w:right w:w="160" w:type="dxa"/>
        </w:tblCellMar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4" w:space="0" w:color="E2E8F0"/>
          <w:insideV w:val="none"/>
        </w:tblBorders>
      </w:tblPr>
      <w:tblGrid>
        <w:gridCol w:w="2600"/>
        <w:gridCol w:w="2200"/>
        <w:gridCol w:w="900"/>
        <w:gridCol w:w="3660"/>
      </w:tblGrid>
      <w:tr>
        <w:trPr>
          <w:tblHeader/>
        </w:trPr>
        <w:tc>
          <w:tcPr>
            <w:tcW w:w="2600" w:type="dxa"/>
            <w:shd w:val="clear" w:color="auto" w:fill="0F172A"/>
          </w:tcPr>
          <w:p>
            <w:pPr>
              <w:spacing w:before="120" w:after="120"/>
            </w:pPr>
            <w:r>
              <w:rPr>
                <w:b/>
                <w:color w:val="FFFFFF"/>
                <w:sz w:val="19"/>
              </w:rPr>
              <w:t>Backend Config Key</w:t>
            </w:r>
          </w:p>
        </w:tc>
        <w:tc>
          <w:tcPr>
            <w:tcW w:w="2200" w:type="dxa"/>
            <w:shd w:val="clear" w:color="auto" w:fill="0F172A"/>
          </w:tcPr>
          <w:p>
            <w:pPr>
              <w:spacing w:before="120" w:after="120"/>
            </w:pPr>
            <w:r>
              <w:rPr>
                <w:b/>
                <w:color w:val="FFFFFF"/>
                <w:sz w:val="19"/>
              </w:rPr>
              <w:t>TypeScript Property</w:t>
            </w:r>
          </w:p>
        </w:tc>
        <w:tc>
          <w:tcPr>
            <w:tcW w:w="900" w:type="dxa"/>
            <w:shd w:val="clear" w:color="auto" w:fill="0F172A"/>
          </w:tcPr>
          <w:p>
            <w:pPr>
              <w:spacing w:before="120" w:after="120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w="3660" w:type="dxa"/>
            <w:shd w:val="clear" w:color="auto" w:fill="0F172A"/>
          </w:tcPr>
          <w:p>
            <w:pPr>
              <w:spacing w:before="120" w:after="120"/>
            </w:pPr>
            <w:r>
              <w:rPr>
                <w:b/>
                <w:color w:val="FFFFFF"/>
                <w:sz w:val="19"/>
              </w:rPr>
              <w:t>Exact Impact in New KB Pipeline UI</w:t>
            </w:r>
          </w:p>
        </w:tc>
      </w:tr>
      <w:tr>
        <w:tc>
          <w:tcPr>
            <w:tcW w:w="2600" w:type="dxa"/>
            <w:shd w:val="clear" w:color="auto" w:fill="F8FAFC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1E40AF"/>
                <w:sz w:val="18"/>
              </w:rPr>
              <w:t>KB_PIPELINE_UI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100" w:after="100"/>
            </w:pPr>
            <w:r>
              <w:rPr>
                <w:rFonts w:ascii="Consolas" w:hAnsi="Consolas"/>
                <w:color w:val="1E293B"/>
                <w:sz w:val="18"/>
              </w:rPr>
              <w:t>enableKbPipelineUi</w:t>
            </w:r>
          </w:p>
        </w:tc>
        <w:tc>
          <w:tcPr>
            <w:tcW w:w="900" w:type="dxa"/>
            <w:shd w:val="clear" w:color="auto" w:fill="F8FAFC"/>
          </w:tcPr>
          <w:p>
            <w:pPr>
              <w:spacing w:before="100" w:after="100"/>
            </w:pPr>
            <w:r>
              <w:rPr>
                <w:b/>
                <w:color w:val="991B1B"/>
                <w:sz w:val="18"/>
              </w:rPr>
              <w:t>false</w:t>
            </w:r>
          </w:p>
        </w:tc>
        <w:tc>
          <w:tcPr>
            <w:tcW w:w="3660" w:type="dxa"/>
            <w:shd w:val="clear" w:color="auto" w:fill="F8FAFC"/>
          </w:tcPr>
          <w:p>
            <w:pPr>
              <w:spacing w:before="100" w:after="100"/>
            </w:pPr>
            <w:r>
              <w:rPr>
                <w:color w:val="334155"/>
                <w:sz w:val="18"/>
              </w:rPr>
              <w:t>Master route toggle switch to launch New KB UI.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1E40AF"/>
                <w:sz w:val="18"/>
              </w:rPr>
              <w:t>KB_PIPELINE_DESTINATION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100" w:after="100"/>
            </w:pPr>
            <w:r>
              <w:rPr>
                <w:rFonts w:ascii="Consolas" w:hAnsi="Consolas"/>
                <w:color w:val="1E293B"/>
                <w:sz w:val="18"/>
              </w:rPr>
              <w:t>enableKbPipelineDestination</w:t>
            </w:r>
          </w:p>
        </w:tc>
        <w:tc>
          <w:tcPr>
            <w:tcW w:w="900" w:type="dxa"/>
            <w:shd w:val="clear" w:color="auto" w:fill="FFFFFF"/>
          </w:tcPr>
          <w:p>
            <w:pPr>
              <w:spacing w:before="100" w:after="100"/>
            </w:pPr>
            <w:r>
              <w:rPr>
                <w:b/>
                <w:color w:val="991B1B"/>
                <w:sz w:val="18"/>
              </w:rPr>
              <w:t>false</w:t>
            </w:r>
          </w:p>
        </w:tc>
        <w:tc>
          <w:tcPr>
            <w:tcW w:w="3660" w:type="dxa"/>
            <w:shd w:val="clear" w:color="auto" w:fill="FFFFFF"/>
          </w:tcPr>
          <w:p>
            <w:pPr>
              <w:spacing w:before="100" w:after="100"/>
            </w:pPr>
            <w:r>
              <w:rPr>
                <w:color w:val="334155"/>
                <w:sz w:val="18"/>
              </w:rPr>
              <w:t>Controls Destination stage visibility (4 vs 3 stages).</w:t>
            </w:r>
          </w:p>
        </w:tc>
      </w:tr>
      <w:tr>
        <w:tc>
          <w:tcPr>
            <w:tcW w:w="2600" w:type="dxa"/>
            <w:shd w:val="clear" w:color="auto" w:fill="F8FAFC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1E40AF"/>
                <w:sz w:val="18"/>
              </w:rPr>
              <w:t>GITHUB_SOURCE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100" w:after="100"/>
            </w:pPr>
            <w:r>
              <w:rPr>
                <w:rFonts w:ascii="Consolas" w:hAnsi="Consolas"/>
                <w:color w:val="1E293B"/>
                <w:sz w:val="18"/>
              </w:rPr>
              <w:t>githubSource</w:t>
            </w:r>
          </w:p>
        </w:tc>
        <w:tc>
          <w:tcPr>
            <w:tcW w:w="900" w:type="dxa"/>
            <w:shd w:val="clear" w:color="auto" w:fill="F8FAFC"/>
          </w:tcPr>
          <w:p>
            <w:pPr>
              <w:spacing w:before="100" w:after="100"/>
            </w:pPr>
            <w:r>
              <w:rPr>
                <w:b/>
                <w:color w:val="991B1B"/>
                <w:sz w:val="18"/>
              </w:rPr>
              <w:t>false</w:t>
            </w:r>
          </w:p>
        </w:tc>
        <w:tc>
          <w:tcPr>
            <w:tcW w:w="3660" w:type="dxa"/>
            <w:shd w:val="clear" w:color="auto" w:fill="F8FAFC"/>
          </w:tcPr>
          <w:p>
            <w:pPr>
              <w:spacing w:before="100" w:after="100"/>
            </w:pPr>
            <w:r>
              <w:rPr>
                <w:color w:val="334155"/>
                <w:sz w:val="18"/>
              </w:rPr>
              <w:t>Controls visibility of 'GitHub' connector card.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1E40AF"/>
                <w:sz w:val="18"/>
              </w:rPr>
              <w:t>UPLOAD_FILES_SOURCE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100" w:after="100"/>
            </w:pPr>
            <w:r>
              <w:rPr>
                <w:rFonts w:ascii="Consolas" w:hAnsi="Consolas"/>
                <w:color w:val="1E293B"/>
                <w:sz w:val="18"/>
              </w:rPr>
              <w:t>uploadFilesSource</w:t>
            </w:r>
          </w:p>
        </w:tc>
        <w:tc>
          <w:tcPr>
            <w:tcW w:w="900" w:type="dxa"/>
            <w:shd w:val="clear" w:color="auto" w:fill="FFFFFF"/>
          </w:tcPr>
          <w:p>
            <w:pPr>
              <w:spacing w:before="100" w:after="100"/>
            </w:pPr>
            <w:r>
              <w:rPr>
                <w:b/>
                <w:color w:val="991B1B"/>
                <w:sz w:val="18"/>
              </w:rPr>
              <w:t>false</w:t>
            </w:r>
          </w:p>
        </w:tc>
        <w:tc>
          <w:tcPr>
            <w:tcW w:w="3660" w:type="dxa"/>
            <w:shd w:val="clear" w:color="auto" w:fill="FFFFFF"/>
          </w:tcPr>
          <w:p>
            <w:pPr>
              <w:spacing w:before="100" w:after="100"/>
            </w:pPr>
            <w:r>
              <w:rPr>
                <w:color w:val="334155"/>
                <w:sz w:val="18"/>
              </w:rPr>
              <w:t>Controls visibility of 'Upload Docs' (TXT, PDF) card.</w:t>
            </w:r>
          </w:p>
        </w:tc>
      </w:tr>
      <w:tr>
        <w:tc>
          <w:tcPr>
            <w:tcW w:w="2600" w:type="dxa"/>
            <w:shd w:val="clear" w:color="auto" w:fill="F8FAFC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1E40AF"/>
                <w:sz w:val="18"/>
              </w:rPr>
              <w:t>AZURE_BLOB_SOURCE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100" w:after="100"/>
            </w:pPr>
            <w:r>
              <w:rPr>
                <w:rFonts w:ascii="Consolas" w:hAnsi="Consolas"/>
                <w:color w:val="1E293B"/>
                <w:sz w:val="18"/>
              </w:rPr>
              <w:t>azureBlobSource</w:t>
            </w:r>
          </w:p>
        </w:tc>
        <w:tc>
          <w:tcPr>
            <w:tcW w:w="900" w:type="dxa"/>
            <w:shd w:val="clear" w:color="auto" w:fill="F8FAFC"/>
          </w:tcPr>
          <w:p>
            <w:pPr>
              <w:spacing w:before="100" w:after="100"/>
            </w:pPr>
            <w:r>
              <w:rPr>
                <w:b/>
                <w:color w:val="991B1B"/>
                <w:sz w:val="18"/>
              </w:rPr>
              <w:t>false</w:t>
            </w:r>
          </w:p>
        </w:tc>
        <w:tc>
          <w:tcPr>
            <w:tcW w:w="3660" w:type="dxa"/>
            <w:shd w:val="clear" w:color="auto" w:fill="F8FAFC"/>
          </w:tcPr>
          <w:p>
            <w:pPr>
              <w:spacing w:before="100" w:after="100"/>
            </w:pPr>
            <w:r>
              <w:rPr>
                <w:color w:val="334155"/>
                <w:sz w:val="18"/>
              </w:rPr>
              <w:t>Controls visibility of 'Azure Blob Storage' card.</w:t>
            </w:r>
          </w:p>
        </w:tc>
      </w:tr>
      <w:tr>
        <w:tc>
          <w:tcPr>
            <w:tcW w:w="2600" w:type="dxa"/>
            <w:shd w:val="clear" w:color="auto" w:fill="FFFFFF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1E40AF"/>
                <w:sz w:val="18"/>
              </w:rPr>
              <w:t>SHAREPOINT_SOURCE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100" w:after="100"/>
            </w:pPr>
            <w:r>
              <w:rPr>
                <w:rFonts w:ascii="Consolas" w:hAnsi="Consolas"/>
                <w:color w:val="1E293B"/>
                <w:sz w:val="18"/>
              </w:rPr>
              <w:t>sharePointSource</w:t>
            </w:r>
          </w:p>
        </w:tc>
        <w:tc>
          <w:tcPr>
            <w:tcW w:w="900" w:type="dxa"/>
            <w:shd w:val="clear" w:color="auto" w:fill="FFFFFF"/>
          </w:tcPr>
          <w:p>
            <w:pPr>
              <w:spacing w:before="100" w:after="100"/>
            </w:pPr>
            <w:r>
              <w:rPr>
                <w:b/>
                <w:color w:val="991B1B"/>
                <w:sz w:val="18"/>
              </w:rPr>
              <w:t>false</w:t>
            </w:r>
          </w:p>
        </w:tc>
        <w:tc>
          <w:tcPr>
            <w:tcW w:w="3660" w:type="dxa"/>
            <w:shd w:val="clear" w:color="auto" w:fill="FFFFFF"/>
          </w:tcPr>
          <w:p>
            <w:pPr>
              <w:spacing w:before="100" w:after="100"/>
            </w:pPr>
            <w:r>
              <w:rPr>
                <w:color w:val="334155"/>
                <w:sz w:val="18"/>
              </w:rPr>
              <w:t>Controls visibility of 'SharePoint Integration' card.</w:t>
            </w:r>
          </w:p>
        </w:tc>
      </w:tr>
      <w:tr>
        <w:tc>
          <w:tcPr>
            <w:tcW w:w="2600" w:type="dxa"/>
            <w:shd w:val="clear" w:color="auto" w:fill="F8FAFC"/>
          </w:tcPr>
          <w:p>
            <w:pPr>
              <w:spacing w:before="100" w:after="100"/>
            </w:pPr>
            <w:r>
              <w:rPr>
                <w:rFonts w:ascii="Consolas" w:hAnsi="Consolas"/>
                <w:b/>
                <w:color w:val="1E40AF"/>
                <w:sz w:val="18"/>
              </w:rPr>
              <w:t>CONFLUENCE_SOURCE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100" w:after="100"/>
            </w:pPr>
            <w:r>
              <w:rPr>
                <w:rFonts w:ascii="Consolas" w:hAnsi="Consolas"/>
                <w:color w:val="1E293B"/>
                <w:sz w:val="18"/>
              </w:rPr>
              <w:t>confluenceSource</w:t>
            </w:r>
          </w:p>
        </w:tc>
        <w:tc>
          <w:tcPr>
            <w:tcW w:w="900" w:type="dxa"/>
            <w:shd w:val="clear" w:color="auto" w:fill="F8FAFC"/>
          </w:tcPr>
          <w:p>
            <w:pPr>
              <w:spacing w:before="100" w:after="100"/>
            </w:pPr>
            <w:r>
              <w:rPr>
                <w:b/>
                <w:color w:val="991B1B"/>
                <w:sz w:val="18"/>
              </w:rPr>
              <w:t>false</w:t>
            </w:r>
          </w:p>
        </w:tc>
        <w:tc>
          <w:tcPr>
            <w:tcW w:w="3660" w:type="dxa"/>
            <w:shd w:val="clear" w:color="auto" w:fill="F8FAFC"/>
          </w:tcPr>
          <w:p>
            <w:pPr>
              <w:spacing w:before="100" w:after="100"/>
            </w:pPr>
            <w:r>
              <w:rPr>
                <w:color w:val="334155"/>
                <w:sz w:val="18"/>
              </w:rPr>
              <w:t>Controls visibility of 'Confluence Wiki' connector card.</w:t>
            </w:r>
          </w:p>
        </w:tc>
      </w:tr>
    </w:tbl>
    <!-- Section 2 -->
    <w:p>
      <w:pPr>
        <w:spacing w:before="360" w:after="120"/>
      </w:pPr>
      <w:r>
        <w:rPr>
          <w:b/>
          <w:sz w:val="24"/>
          <w:color w:val="0F172A"/>
        </w:rPr>
        <w:t>2. Detailed Behavior Specifications</w:t>
      </w:r>
    </w:p>
    <w:p>
      <w:pPr>
        <w:spacing w:before="120" w:after="60"/>
      </w:pPr>
      <w:r>
        <w:rPr>
          <w:b/>
          <w:color w:val="1E3A8A"/>
          <w:sz w:val="20"/>
        </w:rPr>
        <w:t>1. Core Pipeline &amp; Stepper Control Flags</w:t>
      </w:r>
    </w:p>
    <w:p>
      <w:pPr>
        <w:spacing w:before="40" w:after="40"/>
      </w:pPr>
      <w:r>
        <w:rPr>
          <w:b/>
          <w:color w:val="1E40AF"/>
          <w:sz w:val="19"/>
        </w:rPr>
        <w:t>• KB_PIPELINE_UI (enableKbPipelineUi): </w:t>
      </w:r>
      <w:r>
        <w:rPr>
          <w:color w:val="334155"/>
          <w:sz w:val="19"/>
        </w:rPr>
        <w:t>Master entry point switch. When true, routes users to /build/knowledge/create-pipeline.</w:t>
      </w:r>
    </w:p>
    <w:p>
      <w:pPr>
        <w:spacing w:before="40" w:after="40"/>
      </w:pPr>
      <w:r>
        <w:rPr>
          <w:b/>
          <w:color w:val="1E40AF"/>
          <w:sz w:val="19"/>
        </w:rPr>
        <w:t>• KB_PIPELINE_DESTINATION (enableKbPipelineDestination): </w:t>
      </w:r>
      <w:r>
        <w:rPr>
          <w:color w:val="334155"/>
          <w:sz w:val="19"/>
        </w:rPr>
        <w:t>Evaluated inside KbPipelineStepperComponent:</w:t>
      </w:r>
    </w:p>
    <w:p>
      <w:pPr>
        <w:spacing w:before="20" w:after="20"/>
      </w:pPr>
      <w:r>
        <w:rPr>
          <w:color w:val="475569"/>
          <w:sz w:val="18"/>
        </w:rPr>
        <w:t>   - OFF (false): 3-Stage Stepper -&gt; Source Selection -&gt; Cleanse &amp; Chunk -&gt; Review &amp; Create (Destination stage bypassed)</w:t>
      </w:r>
    </w:p>
    <w:p>
      <w:pPr>
        <w:spacing w:before="20" w:after="120"/>
      </w:pPr>
      <w:r>
        <w:rPr>
          <w:color w:val="475569"/>
          <w:sz w:val="18"/>
        </w:rPr>
        <w:t>   - ON (true): 4-Stage Stepper -&gt; Source Selection -&gt; Cleanse -&gt; Embedding &amp; Destination -&gt; Review &amp; Create</w:t>
      </w:r>
    </w:p>
    <w:p>
      <w:pPr>
        <w:spacing w:before="180" w:after="60"/>
      </w:pPr>
      <w:r>
        <w:rPr>
          <w:b/>
          <w:color w:val="1E3A8A"/>
          <w:sz w:val="20"/>
        </w:rPr>
        <w:t>2. Source Connector Visibility Flags (kb-pipeline-source-selection)</w:t>
      </w:r>
    </w:p>
    <w:p>
      <w:pPr>
        <w:spacing w:before="40" w:after="40"/>
      </w:pPr>
      <w:r>
        <w:rPr>
          <w:color w:val="334155"/>
          <w:sz w:val="19"/>
        </w:rPr>
        <w:t>Each connector card is dynamically evaluated against its environment getter before rendering in the source grid:</w:t>
      </w:r>
    </w:p>
    <w:p>
      <w:r>
        <w:rPr>
          <w:color w:val="475569"/>
          <w:sz w:val="18"/>
        </w:rPr>
        <w:t>• githubSource -&gt; Shows/Hides 'GitHub' repo connector card</w:t>
      </w:r>
    </w:p>
    <w:p>
      <w:r>
        <w:rPr>
          <w:color w:val="475569"/>
          <w:sz w:val="18"/>
        </w:rPr>
        <w:t>• uploadFilesSource -&gt; Shows/Hides 'Upload Docs' card (TXT, PDF, Docx)</w:t>
      </w:r>
    </w:p>
    <w:p>
      <w:r>
        <w:rPr>
          <w:color w:val="475569"/>
          <w:sz w:val="18"/>
        </w:rPr>
        <w:t>• azureBlobSource -&gt; Shows/Hides 'Azure Blob Storage' card</w:t>
      </w:r>
    </w:p>
    <w:p>
      <w:r>
        <w:rPr>
          <w:color w:val="475569"/>
          <w:sz w:val="18"/>
        </w:rPr>
        <w:t>• sharePointSource -&gt; Shows/Hides 'SharePoint Integration' card</w:t>
      </w:r>
    </w:p>
    <w:p>
      <w:r>
        <w:rPr>
          <w:color w:val="475569"/>
          <w:sz w:val="18"/>
        </w:rPr>
        <w:t>• confluenceSource -&gt; Shows/Hides 'Confluence Wiki' card</w:t>
      </w:r>
    </w:p>
    <!-- Page Setup --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0F172A"/>
      </w:rPr>
    </w:rPrDefault>
  </w:docDefaults>
</w:styles>
</file>