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0F172A"/>
          <w:sz w:val="40"/>
        </w:rPr>
        <w:t>SYNAPSEJUDGE: NOVELTY &amp; ARCHITECTURAL DEFENSE</w:t>
      </w:r>
    </w:p>
    <w:p>
      <w:pPr>
        <w:spacing w:after="240"/>
      </w:pPr>
      <w:r>
        <w:rPr>
          <w:rFonts w:ascii="Calibri" w:hAnsi="Calibri"/>
          <w:color w:val="64748B"/>
          <w:sz w:val="20"/>
        </w:rPr>
        <w:t>Formal Technical Defense Dossier  |  Intelligent Pedagogical Code Assessment Platform</w:t>
        <w:br/>
        <w:t>Target Audience: Academic Evaluation Panel &amp; Senior Review Board</w:t>
      </w:r>
    </w:p>
    <w:tbl>
      <w:tblPr>
        <w:tblW w:type="auto" w:w="0"/>
        <w:jc w:val="center"/>
        <w:tblLayout w:type="fixed"/>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Pr>
          <w:p>
            <w:pPr>
              <w:spacing w:after="80"/>
            </w:pPr>
            <w:r>
              <w:rPr>
                <w:b/>
                <w:color w:val="2563EB"/>
                <w:sz w:val="22"/>
              </w:rPr>
              <w:t>1. EXECUTIVE REBUTTAL: CATEGORY ERROR IN THE PANEL'S OBJECTION</w:t>
              <w:br/>
            </w:r>
            <w:r>
              <w:rPr>
                <w:color w:val="1E293B"/>
                <w:sz w:val="19"/>
              </w:rPr>
              <w:t>The panel's critique that 'all these features are already available' is based on an architectural category error: equating a legacy 1st-Generation Binary Code Grader (e.g., LeetCode, HackerRank) with an Autonomous Intelligent Tutoring &amp; Cognitive Assessment System (ITAS).</w:t>
              <w:br/>
              <w:br/>
              <w:t>Legacy platforms evaluate only the final artifact through black-box string equality (stdin -&gt; stdout). They provide zero real-time visibility into developer cognition, zero execution state tracing, no conversational technical reasoning, and no pedagogical guidance. SynapseJudge was engineered from first principles to bridge these exact research and industrial voids.</w:t>
            </w:r>
          </w:p>
        </w:tc>
      </w:tr>
    </w:tbl>
    <w:p>
      <w:pPr>
        <w:spacing w:after="120"/>
      </w:pPr>
    </w:p>
    <w:p>
      <w:pPr>
        <w:spacing w:before="160" w:after="80"/>
      </w:pPr>
      <w:r>
        <w:rPr>
          <w:b/>
          <w:color w:val="0F172A"/>
          <w:sz w:val="24"/>
        </w:rPr>
        <w:t>2. COMPETITIVE DIFFERENTIATION MATRIX (BENCHMARK VS. STATE-OF-THE-ART)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584"/>
            <w:vAlign w:val="center"/>
            <w:tcMar>
              <w:top w:w="60" w:type="dxa"/>
              <w:bottom w:w="60" w:type="dxa"/>
              <w:left w:w="80" w:type="dxa"/>
              <w:right w:w="80" w:type="dxa"/>
            </w:tcMar>
            <w:shd w:fill="1E293B"/>
          </w:tcPr>
          <w:p>
            <w:pPr>
              <w:spacing w:before="0" w:after="0" w:line="252" w:lineRule="auto"/>
            </w:pPr>
            <w:r>
              <w:rPr>
                <w:rFonts w:ascii="Calibri" w:hAnsi="Calibri"/>
                <w:b/>
                <w:color w:val="FFFFFF"/>
                <w:sz w:val="17"/>
              </w:rPr>
              <w:t>Feature Dimension</w:t>
            </w:r>
          </w:p>
        </w:tc>
        <w:tc>
          <w:tcPr>
            <w:tcW w:type="dxa" w:w="1584"/>
            <w:vAlign w:val="center"/>
            <w:tcMar>
              <w:top w:w="60" w:type="dxa"/>
              <w:bottom w:w="60" w:type="dxa"/>
              <w:left w:w="80" w:type="dxa"/>
              <w:right w:w="80" w:type="dxa"/>
            </w:tcMar>
            <w:shd w:fill="1E293B"/>
          </w:tcPr>
          <w:p>
            <w:pPr>
              <w:spacing w:before="0" w:after="0" w:line="252" w:lineRule="auto"/>
            </w:pPr>
            <w:r>
              <w:rPr>
                <w:rFonts w:ascii="Calibri" w:hAnsi="Calibri"/>
                <w:b/>
                <w:color w:val="FFFFFF"/>
                <w:sz w:val="17"/>
              </w:rPr>
              <w:t>LeetCode / HackerRank</w:t>
            </w:r>
          </w:p>
        </w:tc>
        <w:tc>
          <w:tcPr>
            <w:tcW w:type="dxa" w:w="1584"/>
            <w:vAlign w:val="center"/>
            <w:tcMar>
              <w:top w:w="60" w:type="dxa"/>
              <w:bottom w:w="60" w:type="dxa"/>
              <w:left w:w="80" w:type="dxa"/>
              <w:right w:w="80" w:type="dxa"/>
            </w:tcMar>
            <w:shd w:fill="1E293B"/>
          </w:tcPr>
          <w:p>
            <w:pPr>
              <w:spacing w:before="0" w:after="0" w:line="252" w:lineRule="auto"/>
            </w:pPr>
            <w:r>
              <w:rPr>
                <w:rFonts w:ascii="Calibri" w:hAnsi="Calibri"/>
                <w:b/>
                <w:color w:val="FFFFFF"/>
                <w:sz w:val="17"/>
              </w:rPr>
              <w:t>VisuAlgo / PythonTutor</w:t>
            </w:r>
          </w:p>
        </w:tc>
        <w:tc>
          <w:tcPr>
            <w:tcW w:type="dxa" w:w="1584"/>
            <w:vAlign w:val="center"/>
            <w:tcMar>
              <w:top w:w="60" w:type="dxa"/>
              <w:bottom w:w="60" w:type="dxa"/>
              <w:left w:w="80" w:type="dxa"/>
              <w:right w:w="80" w:type="dxa"/>
            </w:tcMar>
            <w:shd w:fill="1E293B"/>
          </w:tcPr>
          <w:p>
            <w:pPr>
              <w:spacing w:before="0" w:after="0" w:line="252" w:lineRule="auto"/>
            </w:pPr>
            <w:r>
              <w:rPr>
                <w:rFonts w:ascii="Calibri" w:hAnsi="Calibri"/>
                <w:b/>
                <w:color w:val="FFFFFF"/>
                <w:sz w:val="17"/>
              </w:rPr>
              <w:t>Pramp / Peer Platforms</w:t>
            </w:r>
          </w:p>
        </w:tc>
        <w:tc>
          <w:tcPr>
            <w:tcW w:type="dxa" w:w="1584"/>
            <w:vAlign w:val="center"/>
            <w:tcMar>
              <w:top w:w="60" w:type="dxa"/>
              <w:bottom w:w="60" w:type="dxa"/>
              <w:left w:w="80" w:type="dxa"/>
              <w:right w:w="80" w:type="dxa"/>
            </w:tcMar>
            <w:shd w:fill="1E293B"/>
          </w:tcPr>
          <w:p>
            <w:pPr>
              <w:spacing w:before="0" w:after="0" w:line="252" w:lineRule="auto"/>
            </w:pPr>
            <w:r>
              <w:rPr>
                <w:rFonts w:ascii="Calibri" w:hAnsi="Calibri"/>
                <w:b/>
                <w:color w:val="FFFFFF"/>
                <w:sz w:val="17"/>
              </w:rPr>
              <w:t>Generic AI (ChatGPT)</w:t>
            </w:r>
          </w:p>
        </w:tc>
        <w:tc>
          <w:tcPr>
            <w:tcW w:type="dxa" w:w="2160"/>
            <w:vAlign w:val="center"/>
            <w:tcMar>
              <w:top w:w="60" w:type="dxa"/>
              <w:bottom w:w="60" w:type="dxa"/>
              <w:left w:w="80" w:type="dxa"/>
              <w:right w:w="80" w:type="dxa"/>
            </w:tcMar>
            <w:shd w:fill="1E293B"/>
          </w:tcPr>
          <w:p>
            <w:pPr>
              <w:spacing w:before="0" w:after="0" w:line="252" w:lineRule="auto"/>
            </w:pPr>
            <w:r>
              <w:rPr>
                <w:rFonts w:ascii="Calibri" w:hAnsi="Calibri"/>
                <w:b/>
                <w:color w:val="FFFFFF"/>
                <w:sz w:val="17"/>
              </w:rPr>
              <w:t>SynapseJudge (Our Novel System)</w:t>
            </w:r>
          </w:p>
        </w:tc>
      </w:tr>
      <w:tr>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Code Execution Visualization</w:t>
            </w:r>
          </w:p>
        </w:tc>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None</w:t>
              <w:br/>
              <w:t>(Pure text diff)</w:t>
            </w:r>
          </w:p>
        </w:tc>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Static Only</w:t>
              <w:br/>
              <w:t>(Pre-rendered textbook code. Cannot trace user code.)</w:t>
            </w:r>
          </w:p>
        </w:tc>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None</w:t>
            </w:r>
          </w:p>
        </w:tc>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None</w:t>
              <w:br/>
              <w:t>(Textual Markdown only)</w:t>
            </w:r>
          </w:p>
        </w:tc>
        <w:tc>
          <w:tcPr>
            <w:tcW w:type="dxa" w:w="2160"/>
            <w:vAlign w:val="center"/>
            <w:tcMar>
              <w:top w:w="60" w:type="dxa"/>
              <w:bottom w:w="60" w:type="dxa"/>
              <w:left w:w="80" w:type="dxa"/>
              <w:right w:w="80" w:type="dxa"/>
            </w:tcMar>
            <w:shd w:fill="EFF6FF"/>
          </w:tcPr>
          <w:p>
            <w:pPr>
              <w:spacing w:before="0" w:after="0" w:line="252" w:lineRule="auto"/>
            </w:pPr>
            <w:r>
              <w:rPr>
                <w:rFonts w:ascii="Calibri" w:hAnsi="Calibri"/>
                <w:b/>
                <w:color w:val="1E40AF"/>
                <w:sz w:val="15"/>
              </w:rPr>
              <w:t>Dynamic Arbitrary Code Profiler: Interactive step-by-step memory/pointer frames for ANY user submission.</w:t>
            </w:r>
          </w:p>
        </w:tc>
      </w:tr>
      <w:tr>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Technical Interview Engine</w:t>
            </w:r>
          </w:p>
        </w:tc>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None</w:t>
            </w:r>
          </w:p>
        </w:tc>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None</w:t>
            </w:r>
          </w:p>
        </w:tc>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Human-only scheduling ($100-$250/hr). Dependent on peer skill.</w:t>
            </w:r>
          </w:p>
        </w:tc>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Text prompt only. No audio personas, no editor sync, hallucinations.</w:t>
            </w:r>
          </w:p>
        </w:tc>
        <w:tc>
          <w:tcPr>
            <w:tcW w:type="dxa" w:w="2160"/>
            <w:vAlign w:val="center"/>
            <w:tcMar>
              <w:top w:w="60" w:type="dxa"/>
              <w:bottom w:w="60" w:type="dxa"/>
              <w:left w:w="80" w:type="dxa"/>
              <w:right w:w="80" w:type="dxa"/>
            </w:tcMar>
            <w:shd w:fill="EFF6FF"/>
          </w:tcPr>
          <w:p>
            <w:pPr>
              <w:spacing w:before="0" w:after="0" w:line="252" w:lineRule="auto"/>
            </w:pPr>
            <w:r>
              <w:rPr>
                <w:rFonts w:ascii="Calibri" w:hAnsi="Calibri"/>
                <w:b/>
                <w:color w:val="1E40AF"/>
                <w:sz w:val="15"/>
              </w:rPr>
              <w:t>Autonomous Speech-to-Speech Engine: 4 acoustic personas, push-to-speak VAD, live volume HUD, 100-pt rubric.</w:t>
            </w:r>
          </w:p>
        </w:tc>
      </w:tr>
      <w:tr>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Domain-Specific CS Synthesis</w:t>
            </w:r>
          </w:p>
        </w:tc>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None</w:t>
              <w:br/>
              <w:t>(Static fixed DSA questions only)</w:t>
            </w:r>
          </w:p>
        </w:tc>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None</w:t>
            </w:r>
          </w:p>
        </w:tc>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None</w:t>
            </w:r>
          </w:p>
        </w:tc>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Static Q&amp;A without verified unit test execution.</w:t>
            </w:r>
          </w:p>
        </w:tc>
        <w:tc>
          <w:tcPr>
            <w:tcW w:type="dxa" w:w="2160"/>
            <w:vAlign w:val="center"/>
            <w:tcMar>
              <w:top w:w="60" w:type="dxa"/>
              <w:bottom w:w="60" w:type="dxa"/>
              <w:left w:w="80" w:type="dxa"/>
              <w:right w:w="80" w:type="dxa"/>
            </w:tcMar>
            <w:shd w:fill="EFF6FF"/>
          </w:tcPr>
          <w:p>
            <w:pPr>
              <w:spacing w:before="0" w:after="0" w:line="252" w:lineRule="auto"/>
            </w:pPr>
            <w:r>
              <w:rPr>
                <w:rFonts w:ascii="Calibri" w:hAnsi="Calibri"/>
                <w:b/>
                <w:color w:val="1E40AF"/>
                <w:sz w:val="15"/>
              </w:rPr>
              <w:t>Dynamic CS Scenario Engine: Generates novel Networks, OS, &amp; DBMS tasks with verified matching test suites.</w:t>
            </w:r>
          </w:p>
        </w:tc>
      </w:tr>
      <w:tr>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Competitive 1v1 Mode</w:t>
            </w:r>
          </w:p>
        </w:tc>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Binary Speed Clock</w:t>
              <w:br/>
              <w:t>(Rewards brute-force if submitted 1s faster)</w:t>
            </w:r>
          </w:p>
        </w:tc>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None</w:t>
            </w:r>
          </w:p>
        </w:tc>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None</w:t>
            </w:r>
          </w:p>
        </w:tc>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None</w:t>
            </w:r>
          </w:p>
        </w:tc>
        <w:tc>
          <w:tcPr>
            <w:tcW w:type="dxa" w:w="2160"/>
            <w:vAlign w:val="center"/>
            <w:tcMar>
              <w:top w:w="60" w:type="dxa"/>
              <w:bottom w:w="60" w:type="dxa"/>
              <w:left w:w="80" w:type="dxa"/>
              <w:right w:w="80" w:type="dxa"/>
            </w:tcMar>
            <w:shd w:fill="EFF6FF"/>
          </w:tcPr>
          <w:p>
            <w:pPr>
              <w:spacing w:before="0" w:after="0" w:line="252" w:lineRule="auto"/>
            </w:pPr>
            <w:r>
              <w:rPr>
                <w:rFonts w:ascii="Calibri" w:hAnsi="Calibri"/>
                <w:b/>
                <w:color w:val="1E40AF"/>
                <w:sz w:val="15"/>
              </w:rPr>
              <w:t>AI Grandmaster Referee &amp; Replay: Multi-criteria arbitration (optimality, modularity) + deterministic timeline replay.</w:t>
            </w:r>
          </w:p>
        </w:tc>
      </w:tr>
      <w:tr>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Pedagogical Mentorship</w:t>
            </w:r>
          </w:p>
        </w:tc>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Binary answer reveal</w:t>
              <w:br/>
              <w:t>(Destroys cognitive retention)</w:t>
            </w:r>
          </w:p>
        </w:tc>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None</w:t>
            </w:r>
          </w:p>
        </w:tc>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Variable</w:t>
            </w:r>
          </w:p>
        </w:tc>
        <w:tc>
          <w:tcPr>
            <w:tcW w:type="dxa" w:w="1584"/>
            <w:vAlign w:val="center"/>
            <w:tcMar>
              <w:top w:w="60" w:type="dxa"/>
              <w:bottom w:w="60" w:type="dxa"/>
              <w:left w:w="80" w:type="dxa"/>
              <w:right w:w="80" w:type="dxa"/>
            </w:tcMar>
            <w:shd w:fill="F8FAFC"/>
          </w:tcPr>
          <w:p>
            <w:pPr>
              <w:spacing w:before="0" w:after="0" w:line="252" w:lineRule="auto"/>
            </w:pPr>
            <w:r>
              <w:rPr>
                <w:rFonts w:ascii="Calibri" w:hAnsi="Calibri"/>
                <w:color w:val="1E293B"/>
                <w:sz w:val="15"/>
              </w:rPr>
              <w:t>Dumps full code immediately</w:t>
              <w:br/>
              <w:t>(Illusion of competence)</w:t>
            </w:r>
          </w:p>
        </w:tc>
        <w:tc>
          <w:tcPr>
            <w:tcW w:type="dxa" w:w="2160"/>
            <w:vAlign w:val="center"/>
            <w:tcMar>
              <w:top w:w="60" w:type="dxa"/>
              <w:bottom w:w="60" w:type="dxa"/>
              <w:left w:w="80" w:type="dxa"/>
              <w:right w:w="80" w:type="dxa"/>
            </w:tcMar>
            <w:shd w:fill="EFF6FF"/>
          </w:tcPr>
          <w:p>
            <w:pPr>
              <w:spacing w:before="0" w:after="0" w:line="252" w:lineRule="auto"/>
            </w:pPr>
            <w:r>
              <w:rPr>
                <w:rFonts w:ascii="Calibri" w:hAnsi="Calibri"/>
                <w:b/>
                <w:color w:val="1E40AF"/>
                <w:sz w:val="15"/>
              </w:rPr>
              <w:t>Tiered Socratic Scaffolding: 3-tier progressive hints (Concept -&gt; Blueprint -&gt; Traps) without leaking code.</w:t>
            </w:r>
          </w:p>
        </w:tc>
      </w:tr>
      <w:tr>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Sandbox Security</w:t>
            </w:r>
          </w:p>
        </w:tc>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Proprietary / Closed</w:t>
            </w:r>
          </w:p>
        </w:tc>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Browser eval / Host</w:t>
            </w:r>
          </w:p>
        </w:tc>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Browser JS only</w:t>
            </w:r>
          </w:p>
        </w:tc>
        <w:tc>
          <w:tcPr>
            <w:tcW w:type="dxa" w:w="1584"/>
            <w:vAlign w:val="center"/>
            <w:tcMar>
              <w:top w:w="60" w:type="dxa"/>
              <w:bottom w:w="60" w:type="dxa"/>
              <w:left w:w="80" w:type="dxa"/>
              <w:right w:w="80" w:type="dxa"/>
            </w:tcMar>
            <w:shd w:fill="FFFFFF"/>
          </w:tcPr>
          <w:p>
            <w:pPr>
              <w:spacing w:before="0" w:after="0" w:line="252" w:lineRule="auto"/>
            </w:pPr>
            <w:r>
              <w:rPr>
                <w:rFonts w:ascii="Calibri" w:hAnsi="Calibri"/>
                <w:color w:val="1E293B"/>
                <w:sz w:val="15"/>
              </w:rPr>
              <w:t>None</w:t>
            </w:r>
          </w:p>
        </w:tc>
        <w:tc>
          <w:tcPr>
            <w:tcW w:type="dxa" w:w="2160"/>
            <w:vAlign w:val="center"/>
            <w:tcMar>
              <w:top w:w="60" w:type="dxa"/>
              <w:bottom w:w="60" w:type="dxa"/>
              <w:left w:w="80" w:type="dxa"/>
              <w:right w:w="80" w:type="dxa"/>
            </w:tcMar>
            <w:shd w:fill="EFF6FF"/>
          </w:tcPr>
          <w:p>
            <w:pPr>
              <w:spacing w:before="0" w:after="0" w:line="252" w:lineRule="auto"/>
            </w:pPr>
            <w:r>
              <w:rPr>
                <w:rFonts w:ascii="Calibri" w:hAnsi="Calibri"/>
                <w:b/>
                <w:color w:val="1E40AF"/>
                <w:sz w:val="15"/>
              </w:rPr>
              <w:t>Zero-Trust Micro-Sandboxes: Air-gapped Docker (--network none, 256MB RAM, 0.5 CPU, 64 PIDs, OS-level kill).</w:t>
            </w:r>
          </w:p>
        </w:tc>
      </w:tr>
    </w:tbl>
    <w:p>
      <w:pPr>
        <w:spacing w:after="120"/>
      </w:pPr>
    </w:p>
    <w:p>
      <w:pPr>
        <w:spacing w:before="160" w:after="80"/>
      </w:pPr>
      <w:r>
        <w:rPr>
          <w:b/>
          <w:color w:val="0F172A"/>
          <w:sz w:val="24"/>
        </w:rPr>
        <w:t>3. DETAILED TECHNICAL NOVELTIES &amp; ARCHITECTURAL CONTRIBUTIONS</w:t>
      </w:r>
    </w:p>
    <w:p>
      <w:pPr>
        <w:spacing w:before="80" w:after="40"/>
      </w:pPr>
      <w:r>
        <w:rPr>
          <w:b/>
          <w:color w:val="2563EB"/>
          <w:sz w:val="19"/>
        </w:rPr>
        <w:t>• Novelty 1: Dynamic Arbitrary-Code Visual Execution Profiler (Algorithmic Glass-Box)</w:t>
        <w:br/>
      </w:r>
      <w:r>
        <w:rPr>
          <w:color w:val="1E293B"/>
          <w:sz w:val="17"/>
        </w:rPr>
        <w:t>Industry Gap: Existing judges are black boxes showing only raw string diffs (Expected [0,1], Got [1,2]). Existing visualizers (VisuAlgo) only animate their own pre-written algorithms.</w:t>
        <w:br/>
        <w:t>Our Innovation: SynapseJudge builds a compiler that decomposes arbitrary student code into discrete execution step frames (ExecutionStep). It spotlights active multi-dimensional pointers (left/right, slow/fast, matrix cells) and provides a bidirectional time-travel scrubbing HUD (Play, Pause, Step Forward/Back, 0.25x-4x speed) linked synchronously to source line execution.</w:t>
      </w:r>
    </w:p>
    <w:p>
      <w:pPr>
        <w:spacing w:before="80" w:after="40"/>
      </w:pPr>
      <w:r>
        <w:rPr>
          <w:b/>
          <w:color w:val="2563EB"/>
          <w:sz w:val="19"/>
        </w:rPr>
        <w:t>• Novelty 2: Autonomous Speech-to-Speech Technical Interviewer with Dynamic CS Test Synthesis</w:t>
        <w:br/>
      </w:r>
      <w:r>
        <w:rPr>
          <w:color w:val="1E293B"/>
          <w:sz w:val="17"/>
        </w:rPr>
        <w:t>Industry Gap: Technical interviews evaluate communication, trade-off analysis, and formulation under pressure. Platforms only test silent typing against static DSA databases.</w:t>
        <w:br/>
        <w:t>Our Innovation: Integrated conversational loop with 4 acoustic voice personas (Alex, Sarah, David, Elena) with custom pitch and boldness modulation. When testing Computer Networks, OS, or DBMS, the system dynamically synthesizes un-googlable scenario tasks AND verified matching test cases on the fly, evaluated via an objective 100-point 5-pillar rubric.</w:t>
      </w:r>
    </w:p>
    <w:p>
      <w:pPr>
        <w:spacing w:before="80" w:after="40"/>
      </w:pPr>
      <w:r>
        <w:rPr>
          <w:b/>
          <w:color w:val="2563EB"/>
          <w:sz w:val="19"/>
        </w:rPr>
        <w:t>• Novelty 3: Real-Time 1v1 Arena with Deterministic Replay &amp; AI Grandmaster Referee</w:t>
        <w:br/>
      </w:r>
      <w:r>
        <w:rPr>
          <w:color w:val="1E293B"/>
          <w:sz w:val="17"/>
        </w:rPr>
        <w:t>Industry Gap: Competitive programming judges solely on submission timestamps, rewarding unscalable O(N^2) brute-force if submitted 1 second faster than clean O(N) code.</w:t>
        <w:br/>
        <w:t>Our Innovation: Introduces an AI Grandmaster Referee that qualitatively evaluates asymptotic optimality, code modularity, and algorithmic paradigm elegance. All keystrokes and visualizer states are timestamped in ArenaMatchRecord, allowing candidates and spectators to scrub through matches like an esports replay.</w:t>
      </w:r>
    </w:p>
    <w:p>
      <w:pPr>
        <w:spacing w:before="80" w:after="40"/>
      </w:pPr>
      <w:r>
        <w:rPr>
          <w:b/>
          <w:color w:val="2563EB"/>
          <w:sz w:val="19"/>
        </w:rPr>
        <w:t>• Novelty 4: Socratic Pedagogical Scaffolding Engine (Anti-Plagiarism Mentorship)</w:t>
        <w:br/>
      </w:r>
      <w:r>
        <w:rPr>
          <w:color w:val="1E293B"/>
          <w:sz w:val="17"/>
        </w:rPr>
        <w:t>Industry Gap: Revealing full solutions or using ChatGPT destroys cognitive retention through the 'Illusion of Competence' (students think they understand but fail in interviews).</w:t>
        <w:br/>
        <w:t>Our Innovation: Implements Vygotsky's Zone of Proximal Development via a 3-Tiered Scaffolding Model: Tier 1 Cognitive Nudge (pattern intuition without code), Tier 2 Structural Blueprint (data structure invariants), and Tier 3 Edge-Case Alerts, preventing code plagiarism while cultivating problem-solving independence.</w:t>
      </w:r>
    </w:p>
    <w:p>
      <w:pPr>
        <w:spacing w:before="80" w:after="40"/>
      </w:pPr>
      <w:r>
        <w:rPr>
          <w:b/>
          <w:color w:val="2563EB"/>
          <w:sz w:val="19"/>
        </w:rPr>
        <w:t>• Novelty 5: Enterprise Zero-Trust Micro-Container Sandboxing</w:t>
        <w:br/>
      </w:r>
      <w:r>
        <w:rPr>
          <w:color w:val="1E293B"/>
          <w:sz w:val="17"/>
        </w:rPr>
        <w:t>Industry Gap: Academic prototypes execute code on the host using unshielded child_process.exec() or browser eval, vulnerable to fork-bombs and filesystem escapes.</w:t>
        <w:br/>
        <w:t>Our Innovation: Air-gapped micro-sandboxes built on Docker with --network none, 256MB RAM ceilings, 0.5 CPU quotas, 64 PIDs limits, and blocking kernel termination (docker kill) upon timeout for Python 3.11, C++ 17, Java 17, and Node 20.</w:t>
      </w:r>
    </w:p>
    <w:p>
      <w:pPr>
        <w:spacing w:after="80"/>
      </w:pPr>
    </w:p>
    <w:p>
      <w:pPr>
        <w:spacing w:before="120" w:after="60"/>
      </w:pPr>
      <w:r>
        <w:rPr>
          <w:b/>
          <w:color w:val="0F172A"/>
          <w:sz w:val="22"/>
        </w:rPr>
        <w:t>4. ACADEMIC &amp; THEORETICAL GROUNDING (LITERATURE CITATIONS)</w:t>
      </w:r>
    </w:p>
    <w:p>
      <w:pPr>
        <w:spacing w:before="20" w:after="20"/>
      </w:pPr>
      <w:r>
        <w:rPr>
          <w:color w:val="64748B"/>
          <w:sz w:val="17"/>
        </w:rPr>
        <w:t>[1] Sweller, J. (1988). Cognitive Load Theory: SynapseJudge's visual execution profiler offloads working memory to visual perception.</w:t>
      </w:r>
    </w:p>
    <w:p>
      <w:pPr>
        <w:spacing w:before="20" w:after="20"/>
      </w:pPr>
      <w:r>
        <w:rPr>
          <w:color w:val="64748B"/>
          <w:sz w:val="17"/>
        </w:rPr>
        <w:t>[2] VanLehn, K. (2011). Intelligent Tutoring Systems: Proves progressive conceptual prompting yields +0.76 SD higher retention vs direct code reveal.</w:t>
      </w:r>
    </w:p>
    <w:p>
      <w:pPr>
        <w:spacing w:before="20" w:after="20"/>
      </w:pPr>
      <w:r>
        <w:rPr>
          <w:color w:val="64748B"/>
          <w:sz w:val="17"/>
        </w:rPr>
        <w:t>[3] Sorva, J. et al. (2013). Program Visualization: Demonstrates step-by-step visual tracking of student-authored code significantly reduces algorithmic misconceptions.</w:t>
      </w:r>
    </w:p>
    <w:p>
      <w:pPr>
        <w:spacing w:after="80"/>
      </w:pPr>
    </w:p>
    <w:tbl>
      <w:tblPr>
        <w:tblW w:type="auto" w:w="0"/>
        <w:jc w:val="center"/>
        <w:tblLayout w:type="fixed"/>
        <w:tblLook w:firstColumn="1" w:firstRow="1" w:lastColumn="0" w:lastRow="0" w:noHBand="0" w:noVBand="1" w:val="04A0"/>
      </w:tblPr>
      <w:tblGrid>
        <w:gridCol w:w="10080"/>
      </w:tblGrid>
      <w:tr>
        <w:tc>
          <w:tcPr>
            <w:tcW w:type="dxa" w:w="10080"/>
            <w:shd w:fill="0F172A"/>
            <w:tcMar>
              <w:top w:w="120" w:type="dxa"/>
              <w:bottom w:w="120" w:type="dxa"/>
              <w:left w:w="160" w:type="dxa"/>
              <w:right w:w="160" w:type="dxa"/>
            </w:tcMar>
          </w:tcPr>
          <w:p>
            <w:pPr>
              <w:spacing w:after="40"/>
            </w:pPr>
            <w:r>
              <w:rPr>
                <w:b/>
                <w:color w:val="60A5FA"/>
                <w:sz w:val="21"/>
              </w:rPr>
              <w:t>5. VERDICT FOR THE EVALUATION COMMITTEE</w:t>
              <w:br/>
            </w:r>
            <w:r>
              <w:rPr>
                <w:i/>
                <w:color w:val="F1F5F9"/>
                <w:sz w:val="19"/>
              </w:rPr>
              <w:t>"SynapseJudge does not duplicate existing platforms—it introduces the next architectural paradigm. Where legacy tools offer static binary grading, SynapseJudge delivers dynamic arbitrary visual profiling. Where legacy platforms offer no interview training, SynapseJudge provides an autonomous speech-to-speech AI interviewer with dynamic CS domain synthesis. Where competitive platforms reward brute-force speed, SynapseJudge implements qualitative AI refereeing and deterministic replays."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