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30 September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SWTID-2026-3990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 AI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r/>
    </w:p>
    <w:p>
      <w:pPr>
        <w:pStyle w:val="BodyText"/>
        <w:spacing w:line="276" w:lineRule="auto" w:before="141"/>
        <w:ind w:right="414"/>
      </w:pPr>
      <w:r/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0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963" cy="2209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jc w:val="center"/>
      </w:pPr>
      <w:r>
        <w:rPr>
          <w:b/>
          <w:sz w:val="28"/>
        </w:rPr>
        <w:t>LegalEase AI – Level 1 Data Flow Diagram</w:t>
      </w:r>
    </w:p>
    <w:p>
      <w:pPr>
        <w:jc w:val="center"/>
      </w:pPr>
      <w:r>
        <w:rPr>
          <w:i/>
        </w:rPr>
        <w:t>Data flow based on the architecture and workflow documented in the supplied LegalEase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1. Streamlit</w:t>
              <w:br/>
              <w:t>User Input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2. FastAPI</w:t>
              <w:br/>
              <w:t>/generate</w:t>
            </w:r>
          </w:p>
        </w:tc>
      </w:tr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Document type,</w:t>
              <w:br/>
              <w:t>parties, terms,</w:t>
              <w:br/>
              <w:t>dates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Input data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Validated request</w:t>
            </w:r>
          </w:p>
        </w:tc>
      </w:tr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3. GeminiDocumentGenerator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4. Gemini 1.5 Pro</w:t>
              <w:br/>
              <w:t>AI Generation</w:t>
            </w:r>
          </w:p>
        </w:tc>
      </w:tr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Structured prompt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Generated legal text</w:t>
            </w:r>
          </w:p>
        </w:tc>
      </w:tr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←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5. FastAPI</w:t>
              <w:br/>
              <w:t>Response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←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 output</w:t>
            </w:r>
          </w:p>
        </w:tc>
      </w:tr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6. Editable Preview</w:t>
              <w:br/>
              <w:t>&amp; Formatting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7. Export</w:t>
              <w:br/>
              <w:t>TXT / DOCX / PDF</w:t>
            </w:r>
          </w:p>
        </w:tc>
      </w:tr>
      <w:tr>
        <w:tc>
          <w:tcPr>
            <w:tcW w:type="dxa" w:w="1944"/>
            <w:vAlign w:val="center"/>
            <w:tcBorders/>
          </w:tcPr>
          <w:p>
            <w:pPr>
              <w:jc w:val="center"/>
            </w:pPr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←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Edited / formatted</w:t>
              <w:br/>
              <w:t>document</w:t>
            </w:r>
          </w:p>
        </w:tc>
        <w:tc>
          <w:tcPr>
            <w:tcW w:type="dxa" w:w="79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←</w:t>
            </w:r>
          </w:p>
        </w:tc>
        <w:tc>
          <w:tcPr>
            <w:tcW w:type="dxa" w:w="2232"/>
            <w:vAlign w:val="center"/>
            <w:tcBorders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Downloaded file</w:t>
            </w:r>
          </w:p>
        </w:tc>
      </w:tr>
    </w:tbl>
    <w:p>
      <w:r>
        <w:rPr>
          <w:b/>
        </w:rPr>
        <w:t>DFD Notes</w:t>
      </w:r>
    </w:p>
    <w:p>
      <w:r>
        <w:rPr>
          <w:b/>
        </w:rPr>
        <w:t xml:space="preserve">• External Entity: </w:t>
      </w:r>
      <w:r>
        <w:t>User — provides document type, parties, terms, and effective date.</w:t>
      </w:r>
    </w:p>
    <w:p>
      <w:r>
        <w:rPr>
          <w:b/>
        </w:rPr>
        <w:t xml:space="preserve">• Processes: </w:t>
      </w:r>
      <w:r>
        <w:t>Streamlit input/preview, FastAPI /generate, GeminiDocumentGenerator, Gemini 1.5 Pro generation, and document formatting/export.</w:t>
      </w:r>
    </w:p>
    <w:p>
      <w:r>
        <w:rPr>
          <w:b/>
        </w:rPr>
        <w:t xml:space="preserve">• Data Flows: </w:t>
      </w:r>
      <w:r>
        <w:t>User inputs → API request → structured AI prompt → generated legal text → preview/edit → downloadable document.</w:t>
      </w:r>
    </w:p>
    <w:p>
      <w:r>
        <w:rPr>
          <w:b/>
        </w:rPr>
        <w:t xml:space="preserve">• Data Store: </w:t>
      </w:r>
      <w:r>
        <w:t>No persistent database/data store is specified in the supplied LegalEase PDF. The diagram therefore does not claim a database that the project documentation does not support.</w:t>
      </w:r>
    </w:p>
    <w:p>
      <w:r>
        <w:rPr>
          <w:b/>
        </w:rPr>
        <w:t xml:space="preserve">Team Members: </w:t>
      </w:r>
      <w:r>
        <w:t>Bharaneeshwar.V; Pragadheeswaran.S; Santhosh kumar.G; Karthikeyan.P; Kesavan.N</w:t>
      </w:r>
    </w:p>
    <w:sectPr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2026-09-28T16:03:52Z</dcterms:created>
  <dcterms:modified xsi:type="dcterms:W3CDTF">2026-09-28T16:03:52Z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