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05" w:val="left" w:leader="none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</w:p>
    <w:p>
      <w:pPr>
        <w:pStyle w:val="Heading1"/>
        <w:jc w:val="center"/>
      </w:pPr>
      <w:r>
        <w:rPr>
          <w:b/>
          <w:sz w:val="36"/>
        </w:rPr>
        <w:t>Scalability &amp; Future Plan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center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  <w:vAlign w:val="center"/>
          </w:tcPr>
          <w:p>
            <w:pPr>
              <w:pStyle w:val="TableParagraph"/>
              <w:spacing w:before="111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Date</w:t>
            </w:r>
          </w:p>
        </w:tc>
        <w:tc>
          <w:tcPr>
            <w:tcW w:w="68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30 September 2026</w:t>
            </w:r>
          </w:p>
        </w:tc>
      </w:tr>
      <w:tr>
        <w:tc>
          <w:tcPr>
            <w:tcW w:type="dxa" w:w="282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Members</w:t>
            </w:r>
          </w:p>
        </w:tc>
        <w:tc>
          <w:tcPr>
            <w:tcW w:type="dxa" w:w="682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1. Bharaneeshwar.V</w:t>
              <w:br/>
              <w:t>2. Pragadheeswaran.S</w:t>
              <w:br/>
              <w:t>3. Santhosh kumar.G</w:t>
              <w:br/>
              <w:t>4. Karthikeyan.P</w:t>
              <w:br/>
              <w:t>5. Kesavan.N</w:t>
            </w:r>
          </w:p>
        </w:tc>
      </w:tr>
      <w:tr>
        <w:trPr>
          <w:trHeight w:val="420" w:hRule="atLeast"/>
        </w:trPr>
        <w:tc>
          <w:tcPr>
            <w:tcW w:w="2820" w:type="dxa"/>
            <w:vAlign w:val="center"/>
          </w:tcPr>
          <w:p>
            <w:pPr>
              <w:pStyle w:val="TableParagraph"/>
              <w:spacing w:before="106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Team</w:t>
            </w:r>
            <w:r>
              <w:rPr>
                <w:rFonts w:ascii="Calibri" w:hAnsi="Calibri"/>
                <w:b/>
                <w:spacing w:val="-12"/>
                <w:sz w:val="16"/>
              </w:rPr>
              <w:t> </w:t>
            </w:r>
            <w:r>
              <w:rPr>
                <w:rFonts w:ascii="Calibri" w:hAnsi="Calibri"/>
                <w:b/>
                <w:spacing w:val="-5"/>
                <w:sz w:val="16"/>
              </w:rPr>
              <w:t>ID</w:t>
            </w:r>
          </w:p>
        </w:tc>
        <w:tc>
          <w:tcPr>
            <w:tcW w:w="68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SWTID-2026-3990</w:t>
            </w:r>
          </w:p>
        </w:tc>
      </w:tr>
      <w:tr>
        <w:trPr>
          <w:trHeight w:val="399" w:hRule="atLeast"/>
        </w:trPr>
        <w:tc>
          <w:tcPr>
            <w:tcW w:w="2820" w:type="dxa"/>
            <w:vAlign w:val="center"/>
          </w:tcPr>
          <w:p>
            <w:pPr>
              <w:pStyle w:val="TableParagraph"/>
              <w:spacing w:before="101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z w:val="16"/>
              </w:rPr>
              <w:t>Project</w:t>
            </w:r>
            <w:r>
              <w:rPr>
                <w:rFonts w:ascii="Calibri" w:hAnsi="Calibri"/>
                <w:b/>
                <w:spacing w:val="-7"/>
                <w:sz w:val="16"/>
              </w:rPr>
              <w:t> </w:t>
            </w:r>
            <w:r>
              <w:rPr>
                <w:rFonts w:ascii="Calibri" w:hAnsi="Calibri"/>
                <w:b/>
                <w:spacing w:val="-4"/>
                <w:sz w:val="16"/>
              </w:rPr>
              <w:t>Name</w:t>
            </w:r>
          </w:p>
        </w:tc>
        <w:tc>
          <w:tcPr>
            <w:tcW w:w="68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LegalEase AI</w:t>
            </w:r>
          </w:p>
        </w:tc>
      </w:tr>
      <w:tr>
        <w:trPr>
          <w:trHeight w:val="420" w:hRule="atLeast"/>
        </w:trPr>
        <w:tc>
          <w:tcPr>
            <w:tcW w:w="28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Maximum Marks</w:t>
            </w:r>
          </w:p>
        </w:tc>
        <w:tc>
          <w:tcPr>
            <w:tcW w:w="68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1 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Scalability &amp; Future Plan: " w:id="2"/>
      <w:bookmarkEnd w:id="2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584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outlines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scaled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handle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bases, increased data loads, or extended features in the future. It also captures the team's roadmap for enhancing and evolving the project beyond its current state.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urrent System Limitations: " w:id="3"/>
      <w:bookmarkEnd w:id="3"/>
      <w:r>
        <w:rPr>
          <w:b w:val="0"/>
        </w:rPr>
      </w:r>
      <w:r>
        <w:rPr/>
        <w:t>Current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Limitations:</w:t>
      </w: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3980"/>
        <w:gridCol w:w="3400"/>
        <w:gridCol w:w="2380"/>
      </w:tblGrid>
      <w:tr>
        <w:trPr>
          <w:trHeight w:val="839" w:hRule="atLeast"/>
        </w:trPr>
        <w:tc>
          <w:tcPr>
            <w:tcW w:w="580" w:type="dxa"/>
            <w:vAlign w:val="center"/>
          </w:tcPr>
          <w:p>
            <w:pPr>
              <w:pStyle w:val="TableParagraph"/>
              <w:spacing w:before="35" w:after="20"/>
              <w:rPr>
                <w:b/>
                <w:sz w:val="18"/>
              </w:rPr>
            </w:pPr>
          </w:p>
          <w:p>
            <w:pPr>
              <w:pStyle w:val="TableParagraph"/>
              <w:spacing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S.No</w:t>
            </w:r>
          </w:p>
        </w:tc>
        <w:tc>
          <w:tcPr>
            <w:tcW w:w="3980" w:type="dxa"/>
            <w:vAlign w:val="center"/>
          </w:tcPr>
          <w:p>
            <w:pPr>
              <w:pStyle w:val="TableParagraph"/>
              <w:spacing w:before="35" w:after="20"/>
              <w:rPr>
                <w:b/>
                <w:sz w:val="18"/>
              </w:rPr>
            </w:pPr>
          </w:p>
          <w:p>
            <w:pPr>
              <w:pStyle w:val="TableParagraph"/>
              <w:spacing w:after="20"/>
              <w:ind w:left="10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Limitation</w:t>
            </w:r>
          </w:p>
        </w:tc>
        <w:tc>
          <w:tcPr>
            <w:tcW w:w="3400" w:type="dxa"/>
            <w:vAlign w:val="center"/>
          </w:tcPr>
          <w:p>
            <w:pPr>
              <w:pStyle w:val="TableParagraph"/>
              <w:spacing w:before="35" w:after="20"/>
              <w:rPr>
                <w:b/>
                <w:sz w:val="18"/>
              </w:rPr>
            </w:pPr>
          </w:p>
          <w:p>
            <w:pPr>
              <w:pStyle w:val="TableParagraph"/>
              <w:spacing w:after="20"/>
              <w:ind w:left="98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Impact</w:t>
            </w:r>
          </w:p>
        </w:tc>
        <w:tc>
          <w:tcPr>
            <w:tcW w:w="2380" w:type="dxa"/>
            <w:vAlign w:val="center"/>
          </w:tcPr>
          <w:p>
            <w:pPr>
              <w:pStyle w:val="TableParagraph"/>
              <w:spacing w:line="278" w:lineRule="auto" w:before="122" w:after="20"/>
              <w:ind w:left="103" w:right="395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Priority to Address (High</w:t>
            </w:r>
            <w:r>
              <w:rPr>
                <w:rFonts w:ascii="Calibri" w:hAnsi="Calibri"/>
                <w:b/>
                <w:spacing w:val="-10"/>
                <w:sz w:val="16"/>
              </w:rPr>
              <w:t> </w:t>
            </w:r>
            <w:r>
              <w:rPr>
                <w:rFonts w:ascii="Calibri" w:hAnsi="Calibri"/>
                <w:b/>
                <w:sz w:val="16"/>
              </w:rPr>
              <w:t>/</w:t>
            </w:r>
            <w:r>
              <w:rPr>
                <w:rFonts w:ascii="Calibri" w:hAnsi="Calibri"/>
                <w:b/>
                <w:spacing w:val="-10"/>
                <w:sz w:val="16"/>
              </w:rPr>
              <w:t> </w:t>
            </w:r>
            <w:r>
              <w:rPr>
                <w:rFonts w:ascii="Calibri" w:hAnsi="Calibri"/>
                <w:b/>
                <w:sz w:val="16"/>
              </w:rPr>
              <w:t>Medium</w:t>
            </w:r>
            <w:r>
              <w:rPr>
                <w:rFonts w:ascii="Calibri" w:hAnsi="Calibri"/>
                <w:b/>
                <w:spacing w:val="-10"/>
                <w:sz w:val="16"/>
              </w:rPr>
              <w:t> </w:t>
            </w:r>
            <w:r>
              <w:rPr>
                <w:rFonts w:ascii="Calibri" w:hAnsi="Calibri"/>
                <w:b/>
                <w:sz w:val="16"/>
              </w:rPr>
              <w:t>/</w:t>
            </w:r>
            <w:r>
              <w:rPr>
                <w:rFonts w:ascii="Calibri" w:hAnsi="Calibri"/>
                <w:b/>
                <w:spacing w:val="-10"/>
                <w:sz w:val="16"/>
              </w:rPr>
              <w:t> </w:t>
            </w:r>
            <w:r>
              <w:rPr>
                <w:rFonts w:ascii="Calibri" w:hAnsi="Calibri"/>
                <w:b/>
                <w:sz w:val="16"/>
              </w:rPr>
              <w:t>Low)</w:t>
            </w:r>
          </w:p>
        </w:tc>
      </w:tr>
      <w:tr>
        <w:trPr>
          <w:trHeight w:val="620" w:hRule="atLeast"/>
        </w:trPr>
        <w:tc>
          <w:tcPr>
            <w:tcW w:w="5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39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Dependence on the Gemini API for AI-generated legal content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Document generation depends on API availability, response time, and service limits.</w:t>
            </w:r>
          </w:p>
        </w:tc>
        <w:tc>
          <w:tcPr>
            <w:tcW w:w="23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39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Current deployment is primarily local and uses FastAPI with Streamlit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Handling a large number of concurrent users would require production deployment and scalable service infrastructure.</w:t>
            </w:r>
          </w:p>
        </w:tc>
        <w:tc>
          <w:tcPr>
            <w:tcW w:w="23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39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No dedicated persistent data-storage layer is described in the current implementation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Long-term storage, retrieval, versioning, and management of generated documents would need additional infrastructure.</w:t>
            </w:r>
          </w:p>
        </w:tc>
        <w:tc>
          <w:tcPr>
            <w:tcW w:w="23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</w:tbl>
    <w:p>
      <w:pPr>
        <w:pStyle w:val="BodyText"/>
        <w:spacing w:before="231"/>
        <w:rPr>
          <w:rFonts w:ascii="Arial"/>
          <w:b/>
          <w:sz w:val="22"/>
        </w:rPr>
      </w:pPr>
    </w:p>
    <w:p>
      <w:pPr>
        <w:pStyle w:val="Heading2"/>
        <w:spacing w:after="45"/>
      </w:pPr>
      <w:bookmarkStart w:name="Scalability Plan: " w:id="4"/>
      <w:bookmarkEnd w:id="4"/>
      <w:r>
        <w:rPr>
          <w:b w:val="0"/>
        </w:rPr>
      </w:r>
      <w:r>
        <w:rPr/>
        <w:t>Scalability</w:t>
      </w:r>
      <w:r>
        <w:rPr>
          <w:spacing w:val="-11"/>
        </w:rPr>
        <w:t> </w:t>
      </w:r>
      <w:r>
        <w:rPr>
          <w:spacing w:val="-2"/>
        </w:rPr>
        <w:t>Plan:</w:t>
      </w: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599" w:hRule="atLeast"/>
        </w:trPr>
        <w:tc>
          <w:tcPr>
            <w:tcW w:w="580" w:type="dxa"/>
            <w:vAlign w:val="center"/>
          </w:tcPr>
          <w:p>
            <w:pPr>
              <w:pStyle w:val="TableParagraph"/>
              <w:spacing w:before="117"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S.No</w:t>
            </w:r>
          </w:p>
        </w:tc>
        <w:tc>
          <w:tcPr>
            <w:tcW w:w="2260" w:type="dxa"/>
            <w:vAlign w:val="center"/>
          </w:tcPr>
          <w:p>
            <w:pPr>
              <w:pStyle w:val="TableParagraph"/>
              <w:spacing w:before="117" w:after="20"/>
              <w:ind w:left="102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Scalability </w:t>
            </w:r>
            <w:r>
              <w:rPr>
                <w:rFonts w:ascii="Calibri" w:hAnsi="Calibri"/>
                <w:b/>
                <w:spacing w:val="-2"/>
                <w:sz w:val="16"/>
              </w:rPr>
              <w:t>Aspect</w:t>
            </w:r>
          </w:p>
        </w:tc>
        <w:tc>
          <w:tcPr>
            <w:tcW w:w="2260" w:type="dxa"/>
            <w:vAlign w:val="center"/>
          </w:tcPr>
          <w:p>
            <w:pPr>
              <w:pStyle w:val="TableParagraph"/>
              <w:spacing w:before="117" w:after="20"/>
              <w:ind w:left="107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Current </w:t>
            </w:r>
            <w:r>
              <w:rPr>
                <w:rFonts w:ascii="Calibri" w:hAnsi="Calibri"/>
                <w:b/>
                <w:spacing w:val="-2"/>
                <w:sz w:val="16"/>
              </w:rPr>
              <w:t>State</w:t>
            </w:r>
          </w:p>
        </w:tc>
        <w:tc>
          <w:tcPr>
            <w:tcW w:w="5220" w:type="dxa"/>
            <w:vAlign w:val="center"/>
          </w:tcPr>
          <w:p>
            <w:pPr>
              <w:pStyle w:val="TableParagraph"/>
              <w:spacing w:before="117" w:after="20"/>
              <w:ind w:left="113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Proposed Upgrade / </w:t>
            </w:r>
            <w:r>
              <w:rPr>
                <w:rFonts w:ascii="Calibri" w:hAnsi="Calibri"/>
                <w:b/>
                <w:spacing w:val="-2"/>
                <w:sz w:val="16"/>
              </w:rPr>
              <w:t>Solution</w:t>
            </w:r>
          </w:p>
        </w:tc>
      </w:tr>
      <w:tr>
        <w:trPr>
          <w:trHeight w:val="620" w:hRule="atLeast"/>
        </w:trPr>
        <w:tc>
          <w:tcPr>
            <w:tcW w:w="5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User Load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FastAPI backend and Streamlit frontend are designed and tested for local use.</w:t>
            </w:r>
          </w:p>
        </w:tc>
        <w:tc>
          <w:tcPr>
            <w:tcW w:w="52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Deploy the backend and frontend on scalable cloud infrastructure; add multiple application instances and load balancing as user traffic grows.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Data Storage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Generated documents are provided as downloadable TXT, DOCX, and PDF files; the project description does not specify a persistent database.</w:t>
            </w:r>
          </w:p>
        </w:tc>
        <w:tc>
          <w:tcPr>
            <w:tcW w:w="52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Introduce secure persistent storage for document metadata and user files, with organized retrieval, versioning, backups, and lifecycle management.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Performance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The system sends document-generation requests to Gemini and dynamically renders previews and exports.</w:t>
            </w:r>
          </w:p>
        </w:tc>
        <w:tc>
          <w:tcPr>
            <w:tcW w:w="52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Use asynchronous/background processing where appropriate, request queuing, caching of reusable operations, optimized document generation, and monitoring to maintain responsiveness under higher load.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Security</w:t>
            </w:r>
          </w:p>
        </w:tc>
        <w:tc>
          <w:tcPr>
            <w:tcW w:w="226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The Gemini API key is stored through environment variables, and the project emphasizes secure handling of sensitive user data.</w:t>
            </w:r>
          </w:p>
        </w:tc>
        <w:tc>
          <w:tcPr>
            <w:tcW w:w="52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Strengthen production security with authentication and authorization, encrypted data in transit and at rest, secret management, input validation, access controls, audit logging, and secure document retention policies.</w:t>
            </w:r>
          </w:p>
        </w:tc>
      </w:tr>
    </w:tbl>
    <w:p>
      <w:pPr>
        <w:pStyle w:val="BodyText"/>
        <w:spacing w:before="236"/>
        <w:rPr>
          <w:rFonts w:ascii="Arial"/>
          <w:b/>
          <w:sz w:val="22"/>
        </w:rPr>
      </w:pPr>
    </w:p>
    <w:p>
      <w:pPr>
        <w:pStyle w:val="Heading2"/>
        <w:spacing w:after="40"/>
      </w:pPr>
      <w:bookmarkStart w:name="Future Roadmap: " w:id="5"/>
      <w:bookmarkEnd w:id="5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Roadmap:</w:t>
      </w: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00" w:hRule="atLeast"/>
        </w:trPr>
        <w:tc>
          <w:tcPr>
            <w:tcW w:w="1420" w:type="dxa"/>
            <w:vAlign w:val="center"/>
          </w:tcPr>
          <w:p>
            <w:pPr>
              <w:pStyle w:val="TableParagraph"/>
              <w:spacing w:before="122"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Phase</w:t>
            </w:r>
          </w:p>
        </w:tc>
        <w:tc>
          <w:tcPr>
            <w:tcW w:w="3400" w:type="dxa"/>
            <w:vAlign w:val="center"/>
          </w:tcPr>
          <w:p>
            <w:pPr>
              <w:pStyle w:val="TableParagraph"/>
              <w:spacing w:before="122" w:after="20"/>
              <w:ind w:left="117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Planned Feature / </w:t>
            </w:r>
            <w:r>
              <w:rPr>
                <w:rFonts w:ascii="Calibri" w:hAnsi="Calibri"/>
                <w:b/>
                <w:spacing w:val="-2"/>
                <w:sz w:val="16"/>
              </w:rPr>
              <w:t>Enhancement</w:t>
            </w:r>
          </w:p>
        </w:tc>
        <w:tc>
          <w:tcPr>
            <w:tcW w:w="1980" w:type="dxa"/>
            <w:vAlign w:val="center"/>
          </w:tcPr>
          <w:p>
            <w:pPr>
              <w:pStyle w:val="TableParagraph"/>
              <w:spacing w:before="122" w:after="20"/>
              <w:ind w:left="123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Target</w:t>
            </w:r>
            <w:r>
              <w:rPr>
                <w:rFonts w:ascii="Calibri" w:hAnsi="Calibri"/>
                <w:b/>
                <w:spacing w:val="-4"/>
                <w:sz w:val="16"/>
              </w:rPr>
              <w:t> </w:t>
            </w:r>
            <w:r>
              <w:rPr>
                <w:rFonts w:ascii="Calibri" w:hAnsi="Calibri"/>
                <w:b/>
                <w:spacing w:val="-2"/>
                <w:sz w:val="16"/>
              </w:rPr>
              <w:t>Timeline</w:t>
            </w:r>
          </w:p>
        </w:tc>
        <w:tc>
          <w:tcPr>
            <w:tcW w:w="3520" w:type="dxa"/>
            <w:vAlign w:val="center"/>
          </w:tcPr>
          <w:p>
            <w:pPr>
              <w:pStyle w:val="TableParagraph"/>
              <w:spacing w:before="122" w:after="20"/>
              <w:ind w:left="123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Expected </w:t>
            </w:r>
            <w:r>
              <w:rPr>
                <w:rFonts w:ascii="Calibri" w:hAnsi="Calibri"/>
                <w:b/>
                <w:spacing w:val="-2"/>
                <w:sz w:val="16"/>
              </w:rPr>
              <w:t>Impact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type w:val="continuous"/>
          <w:pgSz w:w="11920" w:h="16840"/>
          <w:pgMar w:top="648" w:bottom="648" w:left="648" w:right="648"/>
        </w:sectPr>
      </w:pP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20" w:hRule="atLeast"/>
        </w:trPr>
        <w:tc>
          <w:tcPr>
            <w:tcW w:w="14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Phase 2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Cloud deployment and scalable backend infrastructure; introduce persistent document storage and user authentication.</w:t>
            </w:r>
          </w:p>
        </w:tc>
        <w:tc>
          <w:tcPr>
            <w:tcW w:w="19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Oct–Nov 2026</w:t>
            </w:r>
          </w:p>
        </w:tc>
        <w:tc>
          <w:tcPr>
            <w:tcW w:w="35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Supports more concurrent users, reliable access, and organized document management.</w:t>
            </w:r>
          </w:p>
        </w:tc>
      </w:tr>
      <w:tr>
        <w:trPr>
          <w:trHeight w:val="600" w:hRule="atLeast"/>
        </w:trPr>
        <w:tc>
          <w:tcPr>
            <w:tcW w:w="14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Phase 3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Advanced legal-document analysis, clause highlighting, plain-language summaries, multilingual support, and improved document validation.</w:t>
            </w:r>
          </w:p>
        </w:tc>
        <w:tc>
          <w:tcPr>
            <w:tcW w:w="19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Dec 2026–Jan 2027</w:t>
            </w:r>
          </w:p>
        </w:tc>
        <w:tc>
          <w:tcPr>
            <w:tcW w:w="35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Improves document understanding, accessibility, and usefulness for a wider range of users.</w:t>
            </w:r>
          </w:p>
        </w:tc>
      </w:tr>
      <w:tr>
        <w:trPr>
          <w:trHeight w:val="619" w:hRule="atLeast"/>
        </w:trPr>
        <w:tc>
          <w:tcPr>
            <w:tcW w:w="14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Phase 4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Integration with legal databases and deeper contract analysis, with personalized recommendations and stronger monitoring/security controls.</w:t>
            </w:r>
          </w:p>
        </w:tc>
        <w:tc>
          <w:tcPr>
            <w:tcW w:w="198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Feb–Mar 2027</w:t>
            </w:r>
          </w:p>
        </w:tc>
        <w:tc>
          <w:tcPr>
            <w:tcW w:w="3520" w:type="dxa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sz w:val="16"/>
              </w:rPr>
              <w:t>Extends LegalEase from document generation toward a broader AI-assisted legal information platform.</w:t>
            </w:r>
          </w:p>
        </w:tc>
      </w:tr>
    </w:tbl>
    <w:p>
      <w:pPr>
        <w:spacing w:before="80"/>
      </w:pPr>
      <w:r>
        <w:rPr>
          <w:i/>
          <w:sz w:val="16"/>
        </w:rPr>
        <w:t>Prepared from the LegalEase AI project document and the supplied Scalability &amp; Future Plan template.</w:t>
      </w:r>
    </w:p>
    <w:sectPr>
      <w:type w:val="continuous"/>
      <w:pgSz w:w="11920" w:h="16840"/>
      <w:pgMar w:top="648" w:bottom="648" w:left="648" w:right="64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Arial MT" w:cs="Arial MT"/>
      <w:sz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terms:created xsi:type="dcterms:W3CDTF">2026-09-28T16:12:25Z</dcterms:created>
  <dcterms:modified xsi:type="dcterms:W3CDTF">2026-09-28T16:12:25Z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