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SOLUTION ARCHITECTURE</w:t>
      </w:r>
    </w:p>
    <w:p>
      <w:r>
        <w:rPr>
          <w:b w:val="0"/>
          <w:sz w:val="21"/>
        </w:rPr>
        <w:t>Date: 30 September 2026</w:t>
      </w:r>
    </w:p>
    <w:p>
      <w:r>
        <w:rPr>
          <w:b w:val="0"/>
          <w:sz w:val="21"/>
        </w:rPr>
        <w:t>Team ID: SWTID-2026-3990</w:t>
      </w:r>
    </w:p>
    <w:p>
      <w:r>
        <w:rPr>
          <w:b w:val="0"/>
          <w:sz w:val="21"/>
        </w:rPr>
        <w:t>Project Name: LegalEase AI</w:t>
      </w:r>
    </w:p>
    <w:p>
      <w:r>
        <w:rPr>
          <w:b w:val="0"/>
          <w:sz w:val="21"/>
        </w:rPr>
        <w:t>Maximum Marks: 5 Marks</w:t>
      </w:r>
    </w:p>
    <w:p>
      <w:pPr>
        <w:jc w:val="center"/>
      </w:pPr>
      <w:r>
        <w:rPr>
          <w:b/>
          <w:sz w:val="26"/>
        </w:rPr>
        <w:t>Solution Architecture Diagram</w:t>
      </w:r>
    </w:p>
    <w:p>
      <w:r>
        <w:rPr>
          <w:b/>
          <w:sz w:val="22"/>
        </w:rPr>
        <w:t>PRESENTATION / CLIENT LAYER</w:t>
      </w:r>
    </w:p>
    <w:p>
      <w:pPr>
        <w:spacing w:after="100"/>
      </w:pPr>
      <w:r>
        <w:rPr>
          <w:sz w:val="20"/>
        </w:rPr>
        <w:t>Streamlit Frontend</w:t>
        <w:br/>
        <w:t>User inputs: document type, parties, terms, effective date</w:t>
        <w:br/>
        <w:t>Editable generated-document preview</w:t>
        <w:br/>
        <w:t>Download controls: TXT / DOCX / PDF</w:t>
      </w:r>
    </w:p>
    <w:p>
      <w:r>
        <w:rPr>
          <w:b/>
          <w:sz w:val="22"/>
        </w:rPr>
        <w:t>↓ ↑</w:t>
      </w:r>
    </w:p>
    <w:p>
      <w:r>
        <w:rPr>
          <w:b/>
          <w:sz w:val="22"/>
        </w:rPr>
        <w:t>API / BACKEND LAYER</w:t>
      </w:r>
    </w:p>
    <w:p>
      <w:pPr>
        <w:spacing w:after="100"/>
      </w:pPr>
      <w:r>
        <w:rPr>
          <w:sz w:val="20"/>
        </w:rPr>
        <w:t>FastAPI Backend</w:t>
        <w:br/>
        <w:t>main.py initializes FastAPI and includes routes.py</w:t>
        <w:br/>
        <w:t>POST /generate receives DocumentRequest</w:t>
      </w:r>
    </w:p>
    <w:p>
      <w:r>
        <w:rPr>
          <w:b/>
          <w:sz w:val="22"/>
        </w:rPr>
        <w:t>↓ ↑</w:t>
      </w:r>
    </w:p>
    <w:p>
      <w:r>
        <w:rPr>
          <w:b/>
          <w:sz w:val="22"/>
        </w:rPr>
        <w:t>CORE LOGIC / AI SERVICE</w:t>
      </w:r>
    </w:p>
    <w:p>
      <w:pPr>
        <w:spacing w:after="100"/>
      </w:pPr>
      <w:r>
        <w:rPr>
          <w:sz w:val="20"/>
        </w:rPr>
        <w:t>GeminiDocumentGenerator</w:t>
        <w:br/>
        <w:t>ai_core/gemini_generator.py</w:t>
        <w:br/>
        <w:t>Gemini 1.5 Pro generates structured legal document content</w:t>
      </w:r>
    </w:p>
    <w:p>
      <w:r>
        <w:rPr>
          <w:b/>
          <w:sz w:val="22"/>
        </w:rPr>
        <w:t>↓ ↑</w:t>
      </w:r>
    </w:p>
    <w:p>
      <w:r>
        <w:rPr>
          <w:b/>
          <w:sz w:val="22"/>
        </w:rPr>
        <w:t>EXTERNAL API INTEGRATION</w:t>
      </w:r>
    </w:p>
    <w:p>
      <w:pPr>
        <w:spacing w:after="100"/>
      </w:pPr>
      <w:r>
        <w:rPr>
          <w:sz w:val="20"/>
        </w:rPr>
        <w:t>Google Gemini API via google-generativeai</w:t>
        <w:br/>
        <w:t>API key configured through .env</w:t>
      </w:r>
    </w:p>
    <w:p>
      <w:r>
        <w:rPr>
          <w:b/>
          <w:sz w:val="22"/>
        </w:rPr>
        <w:t>↓ ↑</w:t>
      </w:r>
    </w:p>
    <w:p>
      <w:r>
        <w:rPr>
          <w:b/>
          <w:sz w:val="22"/>
        </w:rPr>
        <w:t>DOCUMENT FORMATTING / OUTPUT</w:t>
      </w:r>
    </w:p>
    <w:p>
      <w:pPr>
        <w:spacing w:after="100"/>
      </w:pPr>
      <w:r>
        <w:rPr>
          <w:sz w:val="20"/>
        </w:rPr>
        <w:t>python-docx → DOCX formatting</w:t>
        <w:br/>
        <w:t>FPDF → PDF formatting</w:t>
        <w:br/>
        <w:t>TXT export</w:t>
        <w:br/>
        <w:t>Logo, tables and footer formatting where documented</w:t>
      </w:r>
    </w:p>
    <w:p>
      <w:r>
        <w:rPr>
          <w:b/>
          <w:sz w:val="22"/>
        </w:rPr>
        <w:t>↓ ↑</w:t>
      </w:r>
    </w:p>
    <w:p>
      <w:r>
        <w:rPr>
          <w:b/>
          <w:sz w:val="22"/>
        </w:rPr>
        <w:t>DATA / STORAGE LAYER</w:t>
      </w:r>
    </w:p>
    <w:p>
      <w:pPr>
        <w:spacing w:after="100"/>
      </w:pPr>
      <w:r>
        <w:rPr>
          <w:sz w:val="20"/>
        </w:rPr>
        <w:t>No persistent database is specified in the LegalEase project documentation.</w:t>
        <w:br/>
        <w:t>Temporary/request data is processed through the application workflow; no database technology is claimed.</w:t>
      </w:r>
    </w:p>
    <w:p>
      <w:pPr>
        <w:jc w:val="center"/>
      </w:pPr>
      <w:r>
        <w:rPr>
          <w:b/>
          <w:sz w:val="26"/>
        </w:rPr>
        <w:t>Component Description Table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0"/>
        <w:gridCol w:w="3240"/>
        <w:gridCol w:w="3240"/>
      </w:tblGrid>
      <w:tr>
        <w:tc>
          <w:tcPr>
            <w:tcW w:type="dxa" w:w="3240"/>
          </w:tcPr>
          <w:p>
            <w:r>
              <w:t>Component Name</w:t>
            </w:r>
          </w:p>
        </w:tc>
        <w:tc>
          <w:tcPr>
            <w:tcW w:type="dxa" w:w="3240"/>
          </w:tcPr>
          <w:p>
            <w:r>
              <w:t>Description / Role in Architecture</w:t>
            </w:r>
          </w:p>
        </w:tc>
        <w:tc>
          <w:tcPr>
            <w:tcW w:type="dxa" w:w="3240"/>
          </w:tcPr>
          <w:p>
            <w:r>
              <w:t>Technologies Used</w:t>
            </w:r>
          </w:p>
        </w:tc>
      </w:tr>
      <w:tr>
        <w:tc>
          <w:tcPr>
            <w:tcW w:type="dxa" w:w="3240"/>
          </w:tcPr>
          <w:p>
            <w:r>
              <w:rPr>
                <w:sz w:val="19"/>
              </w:rPr>
              <w:t>Presentation Layer</w:t>
            </w:r>
          </w:p>
        </w:tc>
        <w:tc>
          <w:tcPr>
            <w:tcW w:type="dxa" w:w="3240"/>
          </w:tcPr>
          <w:p>
            <w:r>
              <w:rPr>
                <w:sz w:val="19"/>
              </w:rPr>
              <w:t>Provides the user interface for entering legal document requirements, viewing generated content, editing the result, and downloading documents.</w:t>
            </w:r>
          </w:p>
        </w:tc>
        <w:tc>
          <w:tcPr>
            <w:tcW w:type="dxa" w:w="3240"/>
          </w:tcPr>
          <w:p>
            <w:r>
              <w:rPr>
                <w:sz w:val="19"/>
              </w:rPr>
              <w:t>Streamlit</w:t>
            </w:r>
          </w:p>
        </w:tc>
      </w:tr>
      <w:tr>
        <w:tc>
          <w:tcPr>
            <w:tcW w:type="dxa" w:w="3240"/>
          </w:tcPr>
          <w:p>
            <w:r>
              <w:rPr>
                <w:sz w:val="19"/>
              </w:rPr>
              <w:t>API / Backend Layer</w:t>
            </w:r>
          </w:p>
        </w:tc>
        <w:tc>
          <w:tcPr>
            <w:tcW w:type="dxa" w:w="3240"/>
          </w:tcPr>
          <w:p>
            <w:r>
              <w:rPr>
                <w:sz w:val="19"/>
              </w:rPr>
              <w:t>Receives document-generation requests, validates the request model, invokes the AI generator, and returns generated content.</w:t>
            </w:r>
          </w:p>
        </w:tc>
        <w:tc>
          <w:tcPr>
            <w:tcW w:type="dxa" w:w="3240"/>
          </w:tcPr>
          <w:p>
            <w:r>
              <w:rPr>
                <w:sz w:val="19"/>
              </w:rPr>
              <w:t>Python, FastAPI, Uvicorn, Pydantic</w:t>
            </w:r>
          </w:p>
        </w:tc>
      </w:tr>
      <w:tr>
        <w:tc>
          <w:tcPr>
            <w:tcW w:type="dxa" w:w="3240"/>
          </w:tcPr>
          <w:p>
            <w:r>
              <w:rPr>
                <w:sz w:val="19"/>
              </w:rPr>
              <w:t>Core Logic / AI Service</w:t>
            </w:r>
          </w:p>
        </w:tc>
        <w:tc>
          <w:tcPr>
            <w:tcW w:type="dxa" w:w="3240"/>
          </w:tcPr>
          <w:p>
            <w:r>
              <w:rPr>
                <w:sz w:val="19"/>
              </w:rPr>
              <w:t>Generates structured legal document content from document type, parties, terms, and dates.</w:t>
            </w:r>
          </w:p>
        </w:tc>
        <w:tc>
          <w:tcPr>
            <w:tcW w:type="dxa" w:w="3240"/>
          </w:tcPr>
          <w:p>
            <w:r>
              <w:rPr>
                <w:sz w:val="19"/>
              </w:rPr>
              <w:t>GeminiDocumentGenerator, Gemini 1.5 Pro, google-generativeai</w:t>
            </w:r>
          </w:p>
        </w:tc>
      </w:tr>
      <w:tr>
        <w:tc>
          <w:tcPr>
            <w:tcW w:type="dxa" w:w="3240"/>
          </w:tcPr>
          <w:p>
            <w:r>
              <w:rPr>
                <w:sz w:val="19"/>
              </w:rPr>
              <w:t>External API Integration</w:t>
            </w:r>
          </w:p>
        </w:tc>
        <w:tc>
          <w:tcPr>
            <w:tcW w:type="dxa" w:w="3240"/>
          </w:tcPr>
          <w:p>
            <w:r>
              <w:rPr>
                <w:sz w:val="19"/>
              </w:rPr>
              <w:t>Connects the application to Google's Gemini API for Generative AI document creation.</w:t>
            </w:r>
          </w:p>
        </w:tc>
        <w:tc>
          <w:tcPr>
            <w:tcW w:type="dxa" w:w="3240"/>
          </w:tcPr>
          <w:p>
            <w:r>
              <w:rPr>
                <w:sz w:val="19"/>
              </w:rPr>
              <w:t>Google Gemini API</w:t>
            </w:r>
          </w:p>
        </w:tc>
      </w:tr>
      <w:tr>
        <w:tc>
          <w:tcPr>
            <w:tcW w:type="dxa" w:w="3240"/>
          </w:tcPr>
          <w:p>
            <w:r>
              <w:rPr>
                <w:sz w:val="19"/>
              </w:rPr>
              <w:t>Document Formatting / Output</w:t>
            </w:r>
          </w:p>
        </w:tc>
        <w:tc>
          <w:tcPr>
            <w:tcW w:type="dxa" w:w="3240"/>
          </w:tcPr>
          <w:p>
            <w:r>
              <w:rPr>
                <w:sz w:val="19"/>
              </w:rPr>
              <w:t>Converts generated text into professionally formatted DOCX/PDF/TXT outputs, including documented branding and formatting features.</w:t>
            </w:r>
          </w:p>
        </w:tc>
        <w:tc>
          <w:tcPr>
            <w:tcW w:type="dxa" w:w="3240"/>
          </w:tcPr>
          <w:p>
            <w:r>
              <w:rPr>
                <w:sz w:val="19"/>
              </w:rPr>
              <w:t>python-docx, FPDF, Pillow</w:t>
            </w:r>
          </w:p>
        </w:tc>
      </w:tr>
      <w:tr>
        <w:tc>
          <w:tcPr>
            <w:tcW w:type="dxa" w:w="3240"/>
          </w:tcPr>
          <w:p>
            <w:r>
              <w:rPr>
                <w:sz w:val="19"/>
              </w:rPr>
              <w:t>Database / Storage</w:t>
            </w:r>
          </w:p>
        </w:tc>
        <w:tc>
          <w:tcPr>
            <w:tcW w:type="dxa" w:w="3240"/>
          </w:tcPr>
          <w:p>
            <w:r>
              <w:rPr>
                <w:sz w:val="19"/>
              </w:rPr>
              <w:t>A persistent database is not documented in the LegalEase project PDF, so no database is specified in this architecture.</w:t>
            </w:r>
          </w:p>
        </w:tc>
        <w:tc>
          <w:tcPr>
            <w:tcW w:type="dxa" w:w="3240"/>
          </w:tcPr>
          <w:p>
            <w:r>
              <w:rPr>
                <w:sz w:val="19"/>
              </w:rPr>
              <w:t>Not specified in project documentation</w:t>
            </w:r>
          </w:p>
        </w:tc>
      </w:tr>
    </w:tbl>
    <w:p>
      <w:r>
        <w:rPr>
          <w:i/>
          <w:sz w:val="18"/>
        </w:rPr>
        <w:t>Source note: This architecture is based on the LegalEase AI project documentation. The template includes an Auth Service, but the LegalEase documentation does not specify authentication or authorization components, so no JWT/OAuth service has been invented.</w:t>
      </w:r>
    </w:p>
    <w:sectPr w:rsidR="00FC693F" w:rsidRPr="0006063C" w:rsidSect="00034616">
      <w:pgSz w:w="12240" w:h="15840"/>
      <w:pgMar w:top="1440" w:right="1080" w:bottom="28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